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5B" w:rsidRDefault="00DC085B">
      <w:pPr>
        <w:pStyle w:val="Heading1"/>
      </w:pPr>
      <w:r>
        <w:t>Unitarian</w:t>
      </w:r>
      <w:r>
        <w:noBreakHyphen/>
        <w:t>Universalist Church of Nashua, New Hampshire</w:t>
      </w:r>
    </w:p>
    <w:p w:rsidR="00DC085B" w:rsidRDefault="00DC085B">
      <w:pPr>
        <w:jc w:val="both"/>
        <w:rPr>
          <w:rFonts w:ascii="Arial" w:hAnsi="Arial" w:cs="Arial"/>
          <w:b/>
          <w:bCs/>
          <w:sz w:val="20"/>
          <w:szCs w:val="20"/>
        </w:rPr>
      </w:pPr>
      <w:r>
        <w:rPr>
          <w:rFonts w:ascii="Arial" w:hAnsi="Arial" w:cs="Arial"/>
          <w:b/>
          <w:bCs/>
          <w:sz w:val="20"/>
          <w:szCs w:val="20"/>
        </w:rPr>
        <w:t xml:space="preserve">Investment Review Committee </w:t>
      </w:r>
      <w:r w:rsidR="00DD56AC">
        <w:rPr>
          <w:rFonts w:ascii="Arial" w:hAnsi="Arial" w:cs="Arial"/>
          <w:b/>
          <w:bCs/>
          <w:sz w:val="20"/>
          <w:szCs w:val="20"/>
        </w:rPr>
        <w:t xml:space="preserve">Summary </w:t>
      </w:r>
      <w:r w:rsidR="000263B1">
        <w:rPr>
          <w:rFonts w:ascii="Arial" w:hAnsi="Arial" w:cs="Arial"/>
          <w:b/>
          <w:bCs/>
          <w:sz w:val="20"/>
          <w:szCs w:val="20"/>
        </w:rPr>
        <w:t>Report for</w:t>
      </w:r>
      <w:r>
        <w:rPr>
          <w:rFonts w:ascii="Arial" w:hAnsi="Arial" w:cs="Arial"/>
          <w:b/>
          <w:bCs/>
          <w:sz w:val="20"/>
          <w:szCs w:val="20"/>
        </w:rPr>
        <w:t xml:space="preserve"> 20</w:t>
      </w:r>
      <w:r w:rsidR="00EB4C40">
        <w:rPr>
          <w:rFonts w:ascii="Arial" w:hAnsi="Arial" w:cs="Arial"/>
          <w:b/>
          <w:bCs/>
          <w:sz w:val="20"/>
          <w:szCs w:val="20"/>
        </w:rPr>
        <w:t>1</w:t>
      </w:r>
      <w:r w:rsidR="00FE6F52">
        <w:rPr>
          <w:rFonts w:ascii="Arial" w:hAnsi="Arial" w:cs="Arial"/>
          <w:b/>
          <w:bCs/>
          <w:sz w:val="20"/>
          <w:szCs w:val="20"/>
        </w:rPr>
        <w:t>4</w:t>
      </w:r>
      <w:r w:rsidR="000263B1">
        <w:rPr>
          <w:rFonts w:ascii="Arial" w:hAnsi="Arial" w:cs="Arial"/>
          <w:b/>
          <w:bCs/>
          <w:sz w:val="20"/>
          <w:szCs w:val="20"/>
        </w:rPr>
        <w:t>-15</w:t>
      </w:r>
    </w:p>
    <w:p w:rsidR="000263B1" w:rsidRDefault="000263B1">
      <w:pPr>
        <w:jc w:val="both"/>
        <w:rPr>
          <w:rFonts w:ascii="Arial" w:hAnsi="Arial" w:cs="Arial"/>
          <w:b/>
          <w:bCs/>
          <w:sz w:val="20"/>
          <w:szCs w:val="20"/>
        </w:rPr>
      </w:pPr>
    </w:p>
    <w:p w:rsidR="000263B1" w:rsidRDefault="000263B1">
      <w:pPr>
        <w:jc w:val="both"/>
        <w:rPr>
          <w:rFonts w:ascii="Arial" w:hAnsi="Arial" w:cs="Arial"/>
          <w:bCs/>
          <w:sz w:val="20"/>
          <w:szCs w:val="20"/>
          <w:u w:val="single"/>
        </w:rPr>
      </w:pPr>
      <w:r w:rsidRPr="000263B1">
        <w:rPr>
          <w:rFonts w:ascii="Arial" w:hAnsi="Arial" w:cs="Arial"/>
          <w:bCs/>
          <w:sz w:val="20"/>
          <w:szCs w:val="20"/>
          <w:u w:val="single"/>
        </w:rPr>
        <w:t>NOTE</w:t>
      </w:r>
    </w:p>
    <w:p w:rsidR="000263B1" w:rsidRPr="000263B1" w:rsidRDefault="000263B1">
      <w:pPr>
        <w:jc w:val="both"/>
        <w:rPr>
          <w:rFonts w:ascii="Arial" w:hAnsi="Arial" w:cs="Arial"/>
          <w:bCs/>
          <w:sz w:val="20"/>
          <w:szCs w:val="20"/>
        </w:rPr>
      </w:pPr>
      <w:r w:rsidRPr="000263B1">
        <w:rPr>
          <w:rFonts w:ascii="Arial" w:hAnsi="Arial" w:cs="Arial"/>
          <w:bCs/>
          <w:sz w:val="20"/>
          <w:szCs w:val="20"/>
        </w:rPr>
        <w:t>Because</w:t>
      </w:r>
      <w:r>
        <w:rPr>
          <w:rFonts w:ascii="Arial" w:hAnsi="Arial" w:cs="Arial"/>
          <w:bCs/>
          <w:sz w:val="20"/>
          <w:szCs w:val="20"/>
        </w:rPr>
        <w:t xml:space="preserve"> our Annual Meeting is earlier than usual this year, this report covers only the eleven months May 31</w:t>
      </w:r>
      <w:r w:rsidR="00DF2FD7">
        <w:rPr>
          <w:rFonts w:ascii="Arial" w:hAnsi="Arial" w:cs="Arial"/>
          <w:bCs/>
          <w:sz w:val="20"/>
          <w:szCs w:val="20"/>
        </w:rPr>
        <w:t>, 2014</w:t>
      </w:r>
      <w:r>
        <w:rPr>
          <w:rFonts w:ascii="Arial" w:hAnsi="Arial" w:cs="Arial"/>
          <w:bCs/>
          <w:sz w:val="20"/>
          <w:szCs w:val="20"/>
        </w:rPr>
        <w:t xml:space="preserve"> to April 30, 2015 for the Bank of America funds and April 1, 2014 to April 1, 2015 for the Balcom and Boutwell Funds</w:t>
      </w:r>
      <w:r w:rsidR="00A777EF">
        <w:rPr>
          <w:rFonts w:ascii="Arial" w:hAnsi="Arial" w:cs="Arial"/>
          <w:bCs/>
          <w:sz w:val="20"/>
          <w:szCs w:val="20"/>
        </w:rPr>
        <w:t xml:space="preserve">.  This seriously </w:t>
      </w:r>
      <w:r w:rsidR="000F0C6D">
        <w:rPr>
          <w:rFonts w:ascii="Arial" w:hAnsi="Arial" w:cs="Arial"/>
          <w:bCs/>
          <w:sz w:val="20"/>
          <w:szCs w:val="20"/>
        </w:rPr>
        <w:t>distorts many of</w:t>
      </w:r>
      <w:r w:rsidR="00A777EF">
        <w:rPr>
          <w:rFonts w:ascii="Arial" w:hAnsi="Arial" w:cs="Arial"/>
          <w:bCs/>
          <w:sz w:val="20"/>
          <w:szCs w:val="20"/>
        </w:rPr>
        <w:t xml:space="preserve"> the following figures.</w:t>
      </w:r>
    </w:p>
    <w:p w:rsidR="002E77CC" w:rsidRDefault="002E77CC">
      <w:pPr>
        <w:jc w:val="both"/>
        <w:rPr>
          <w:rFonts w:ascii="Arial" w:hAnsi="Arial" w:cs="Arial"/>
          <w:sz w:val="20"/>
          <w:szCs w:val="20"/>
        </w:rPr>
      </w:pPr>
    </w:p>
    <w:p w:rsidR="00331383" w:rsidRDefault="00331383">
      <w:pPr>
        <w:jc w:val="both"/>
        <w:rPr>
          <w:rFonts w:ascii="Arial" w:hAnsi="Arial" w:cs="Arial"/>
          <w:sz w:val="20"/>
          <w:szCs w:val="20"/>
        </w:rPr>
      </w:pPr>
    </w:p>
    <w:p w:rsidR="00176A23" w:rsidRPr="00176A23" w:rsidRDefault="00176A23">
      <w:pPr>
        <w:pStyle w:val="BodyText2"/>
        <w:rPr>
          <w:u w:val="single"/>
        </w:rPr>
      </w:pPr>
      <w:r w:rsidRPr="00176A23">
        <w:rPr>
          <w:u w:val="single"/>
        </w:rPr>
        <w:t>OUR ENDOWMENT AND THE COMMITTE</w:t>
      </w:r>
      <w:r>
        <w:rPr>
          <w:u w:val="single"/>
        </w:rPr>
        <w:t>E</w:t>
      </w:r>
    </w:p>
    <w:p w:rsidR="00872436" w:rsidRDefault="00FC61E3">
      <w:pPr>
        <w:pStyle w:val="BodyText2"/>
      </w:pPr>
      <w:r w:rsidRPr="00401EA1">
        <w:t xml:space="preserve">Our </w:t>
      </w:r>
      <w:r>
        <w:t xml:space="preserve">total </w:t>
      </w:r>
      <w:r w:rsidR="00974EAE">
        <w:t>endowment in</w:t>
      </w:r>
      <w:r w:rsidRPr="00401EA1">
        <w:t>creased</w:t>
      </w:r>
      <w:r w:rsidRPr="000C73EB">
        <w:t xml:space="preserve"> </w:t>
      </w:r>
      <w:r>
        <w:t>from $3,998,322</w:t>
      </w:r>
      <w:r w:rsidRPr="000C73EB">
        <w:t xml:space="preserve"> </w:t>
      </w:r>
      <w:r w:rsidRPr="00401EA1">
        <w:t xml:space="preserve">last </w:t>
      </w:r>
      <w:r w:rsidR="00C948FA">
        <w:t>year to</w:t>
      </w:r>
      <w:r w:rsidR="00974EAE">
        <w:t xml:space="preserve"> $4,005,423</w:t>
      </w:r>
      <w:r w:rsidR="00C948FA">
        <w:t xml:space="preserve"> as of April 30</w:t>
      </w:r>
      <w:r w:rsidR="00C948FA" w:rsidRPr="00C948FA">
        <w:rPr>
          <w:vertAlign w:val="superscript"/>
        </w:rPr>
        <w:t>th</w:t>
      </w:r>
      <w:r w:rsidR="00C948FA">
        <w:t>, 2015. I</w:t>
      </w:r>
      <w:r w:rsidR="000263B1">
        <w:t xml:space="preserve">n November </w:t>
      </w:r>
      <w:r w:rsidR="00C948FA">
        <w:t xml:space="preserve">the Committee increased our commitment to socially responsible investing (SRI) </w:t>
      </w:r>
      <w:r w:rsidR="00F1274A">
        <w:t>by putting an additional $317,650</w:t>
      </w:r>
      <w:r w:rsidR="00AA291E">
        <w:t xml:space="preserve"> into an SRI account managed by our principal investment manager, Bank </w:t>
      </w:r>
      <w:r w:rsidR="00F1274A">
        <w:t>of America</w:t>
      </w:r>
      <w:r w:rsidR="00DF2FD7">
        <w:t xml:space="preserve"> (B of A)</w:t>
      </w:r>
      <w:r w:rsidR="00F1274A">
        <w:t xml:space="preserve">. </w:t>
      </w:r>
      <w:r w:rsidR="004934B4">
        <w:t>The account is now wo</w:t>
      </w:r>
      <w:r w:rsidR="0011310D">
        <w:t>rth $567,297, and since last April has had total return of</w:t>
      </w:r>
      <w:r w:rsidR="004934B4">
        <w:t xml:space="preserve"> </w:t>
      </w:r>
      <w:r w:rsidR="0011310D">
        <w:t>14.29</w:t>
      </w:r>
      <w:r w:rsidR="00BD60C8">
        <w:t>%.</w:t>
      </w:r>
      <w:r w:rsidR="00FD7BE5">
        <w:t>The total return on our B of A U</w:t>
      </w:r>
      <w:r w:rsidR="00BD60C8">
        <w:t xml:space="preserve">nrestricted funds, including the SRI account, has been 6.84%, </w:t>
      </w:r>
      <w:r w:rsidR="003D0470">
        <w:t xml:space="preserve">While the SRI funds have performed significantly better than our overall account, </w:t>
      </w:r>
      <w:r w:rsidR="00BD60C8">
        <w:t xml:space="preserve">please note that the SRI account is almost exclusively </w:t>
      </w:r>
      <w:r w:rsidR="00875A56">
        <w:t xml:space="preserve">invested in </w:t>
      </w:r>
      <w:r w:rsidR="00BD60C8">
        <w:t>large capitalization U. S. stocks</w:t>
      </w:r>
      <w:r w:rsidR="00872436">
        <w:t xml:space="preserve"> which have had an extraordinarily good run and further that </w:t>
      </w:r>
      <w:r w:rsidR="003D0470">
        <w:t xml:space="preserve">as noted below, </w:t>
      </w:r>
      <w:r w:rsidR="00872436">
        <w:t>overall we have a balanced portfolio which implies an approximately 60</w:t>
      </w:r>
      <w:r w:rsidR="005D5AD0">
        <w:t>%</w:t>
      </w:r>
      <w:r w:rsidR="00872436">
        <w:t xml:space="preserve"> equities of various types and </w:t>
      </w:r>
      <w:r w:rsidR="000C73EB">
        <w:t>capitalizations</w:t>
      </w:r>
      <w:r w:rsidR="00872436">
        <w:t xml:space="preserve"> and </w:t>
      </w:r>
      <w:r w:rsidR="005D5AD0">
        <w:t xml:space="preserve">40% </w:t>
      </w:r>
      <w:r w:rsidR="00872436">
        <w:t xml:space="preserve">fixed income securities. </w:t>
      </w:r>
    </w:p>
    <w:p w:rsidR="00336775" w:rsidRDefault="00872436">
      <w:pPr>
        <w:pStyle w:val="BodyText2"/>
      </w:pPr>
      <w:r>
        <w:t>Our</w:t>
      </w:r>
      <w:r w:rsidR="00AA291E">
        <w:t xml:space="preserve"> commitment to the </w:t>
      </w:r>
      <w:r w:rsidR="00336775">
        <w:t xml:space="preserve">New Hampshire </w:t>
      </w:r>
      <w:r w:rsidR="00AA291E">
        <w:t>Communi</w:t>
      </w:r>
      <w:r w:rsidR="00F1274A">
        <w:t>ty Loan Fund remains at</w:t>
      </w:r>
      <w:r w:rsidR="00AB7CD5">
        <w:t xml:space="preserve"> $75</w:t>
      </w:r>
      <w:r w:rsidR="00AA291E">
        <w:t>,000</w:t>
      </w:r>
      <w:r w:rsidR="00FC5A2E">
        <w:t>,</w:t>
      </w:r>
      <w:r w:rsidR="00FC043B">
        <w:t xml:space="preserve"> </w:t>
      </w:r>
      <w:r w:rsidR="00C179E7">
        <w:t>and consists</w:t>
      </w:r>
      <w:r w:rsidR="000F0C6D">
        <w:t xml:space="preserve"> of</w:t>
      </w:r>
      <w:r w:rsidR="00FC5A2E">
        <w:t xml:space="preserve"> three seven year notes, </w:t>
      </w:r>
      <w:r w:rsidR="00FC043B">
        <w:t>paying 4% interest</w:t>
      </w:r>
      <w:r w:rsidR="00AA291E">
        <w:t xml:space="preserve">.  </w:t>
      </w:r>
      <w:r w:rsidR="008F20F7">
        <w:t>Including the Loan Fund</w:t>
      </w:r>
      <w:r w:rsidR="00FC5A2E">
        <w:t>,</w:t>
      </w:r>
      <w:r w:rsidR="00AA291E">
        <w:t xml:space="preserve"> about </w:t>
      </w:r>
      <w:r w:rsidR="009F04D7">
        <w:t>14.2</w:t>
      </w:r>
      <w:r w:rsidR="00AA291E">
        <w:t xml:space="preserve">% of our </w:t>
      </w:r>
      <w:r w:rsidR="001A7328">
        <w:t xml:space="preserve">total </w:t>
      </w:r>
      <w:r w:rsidR="00BE4E44">
        <w:t>endowment</w:t>
      </w:r>
      <w:r w:rsidR="008F20F7">
        <w:t xml:space="preserve"> is in</w:t>
      </w:r>
      <w:r w:rsidR="00336775">
        <w:t xml:space="preserve"> SRI investments. </w:t>
      </w:r>
    </w:p>
    <w:p w:rsidR="00C948FA" w:rsidRDefault="00C948FA">
      <w:pPr>
        <w:pStyle w:val="BodyText2"/>
      </w:pPr>
    </w:p>
    <w:p w:rsidR="006E59CD" w:rsidRDefault="00DB5A48">
      <w:pPr>
        <w:pStyle w:val="BodyText2"/>
      </w:pPr>
      <w:r>
        <w:t>The</w:t>
      </w:r>
      <w:r w:rsidR="00A76879">
        <w:t xml:space="preserve"> endowment is managed by t</w:t>
      </w:r>
      <w:r w:rsidR="00DC085B">
        <w:t xml:space="preserve">he Investment Review </w:t>
      </w:r>
      <w:r w:rsidR="00E83CFF">
        <w:t>Committee</w:t>
      </w:r>
      <w:r w:rsidR="00A76879">
        <w:t>, which is</w:t>
      </w:r>
      <w:r w:rsidR="00FE6F52">
        <w:t xml:space="preserve"> chartered under the</w:t>
      </w:r>
      <w:r w:rsidR="00DC085B">
        <w:t xml:space="preserve"> Churc</w:t>
      </w:r>
      <w:r w:rsidR="00875A56">
        <w:t>h by</w:t>
      </w:r>
      <w:r w:rsidR="00875A56">
        <w:noBreakHyphen/>
        <w:t>laws to monitor</w:t>
      </w:r>
      <w:r w:rsidR="00DC085B">
        <w:t>, subject to direct</w:t>
      </w:r>
      <w:r w:rsidR="00216D3B">
        <w:t>ion from the Board of Trustees</w:t>
      </w:r>
      <w:r w:rsidR="00DC085B">
        <w:t>,</w:t>
      </w:r>
      <w:r w:rsidR="00FD7BE5">
        <w:t xml:space="preserve"> the</w:t>
      </w:r>
      <w:r w:rsidR="00DC085B">
        <w:t xml:space="preserve"> pe</w:t>
      </w:r>
      <w:r w:rsidR="00A76879">
        <w:t>rformance of the</w:t>
      </w:r>
      <w:r w:rsidR="00DC085B">
        <w:t xml:space="preserve"> Church's i</w:t>
      </w:r>
      <w:r w:rsidR="00216D3B">
        <w:t>nvested funds</w:t>
      </w:r>
      <w:r w:rsidR="00927C42">
        <w:t xml:space="preserve">. </w:t>
      </w:r>
      <w:r w:rsidR="002A4920">
        <w:t xml:space="preserve">It is further charged by the Board with </w:t>
      </w:r>
      <w:r w:rsidR="00FD7BE5">
        <w:t>recommending a withdrawal rate for the unrestricted and UUA-managed funds.</w:t>
      </w:r>
      <w:r w:rsidR="002A4920">
        <w:t xml:space="preserve"> </w:t>
      </w:r>
      <w:r w:rsidR="00927C42">
        <w:t>The Committee’s members are listed at the end of this report.</w:t>
      </w:r>
    </w:p>
    <w:p w:rsidR="00875A56" w:rsidRDefault="00875A56">
      <w:pPr>
        <w:pStyle w:val="BodyText2"/>
      </w:pPr>
    </w:p>
    <w:p w:rsidR="000B16FA" w:rsidRDefault="00974EAE" w:rsidP="000B16FA">
      <w:pPr>
        <w:pStyle w:val="BodyText2"/>
      </w:pPr>
      <w:r>
        <w:t>The $4,005,423</w:t>
      </w:r>
      <w:r w:rsidR="00875A56">
        <w:t xml:space="preserve"> figure cited above</w:t>
      </w:r>
      <w:r w:rsidR="00875A56" w:rsidRPr="00401EA1">
        <w:t xml:space="preserve"> </w:t>
      </w:r>
      <w:r w:rsidR="00875A56">
        <w:t>includes the C</w:t>
      </w:r>
      <w:r w:rsidR="00875A56" w:rsidRPr="00401EA1">
        <w:t>hurch’s restricted and unrestricted accounts as well as the Nashua Cemetery</w:t>
      </w:r>
      <w:r w:rsidR="00875A56">
        <w:t xml:space="preserve"> fund</w:t>
      </w:r>
      <w:r w:rsidR="00FD5667">
        <w:t>, which comprises 10.22% ($363,620) of the total</w:t>
      </w:r>
      <w:r w:rsidR="00875A56">
        <w:t>.</w:t>
      </w:r>
      <w:r w:rsidR="00FD5667">
        <w:t xml:space="preserve">  The Church has</w:t>
      </w:r>
      <w:r w:rsidR="00875A56">
        <w:t xml:space="preserve"> </w:t>
      </w:r>
      <w:r w:rsidR="00E6529E">
        <w:t xml:space="preserve">two types of restricted funds, one </w:t>
      </w:r>
      <w:r w:rsidR="00BF29B7" w:rsidRPr="00BF29B7">
        <w:rPr>
          <w:i/>
        </w:rPr>
        <w:t>“use</w:t>
      </w:r>
      <w:r w:rsidR="00BF29B7">
        <w:t xml:space="preserve"> </w:t>
      </w:r>
      <w:r w:rsidR="00BF29B7" w:rsidRPr="00BF29B7">
        <w:rPr>
          <w:i/>
        </w:rPr>
        <w:t>restricted”</w:t>
      </w:r>
      <w:r w:rsidR="00BF29B7">
        <w:t xml:space="preserve"> and the other </w:t>
      </w:r>
      <w:r w:rsidR="00BF29B7" w:rsidRPr="00BF29B7">
        <w:rPr>
          <w:i/>
        </w:rPr>
        <w:t>“manager restricted”.</w:t>
      </w:r>
      <w:r w:rsidR="00BF29B7">
        <w:t xml:space="preserve"> Use restricted</w:t>
      </w:r>
      <w:r w:rsidR="007531EA">
        <w:t xml:space="preserve"> means that the money may only be used for the purposes specified by the donor,</w:t>
      </w:r>
      <w:r w:rsidR="00E6529E">
        <w:t xml:space="preserve"> examples being the Lyon Fund for “pulpit flowers”, and the Phillip Ellis Stevens Fund for maintenance of musical instruments</w:t>
      </w:r>
      <w:r w:rsidR="000B16FA">
        <w:t xml:space="preserve">.  </w:t>
      </w:r>
      <w:r w:rsidR="007531EA">
        <w:t>Manager restricted funds have a manger specified by the donor, although the income may be used as the Church chooses .There are two such funds,</w:t>
      </w:r>
      <w:r w:rsidR="000B16FA">
        <w:t xml:space="preserve"> the Sarah M. Balcom Fund</w:t>
      </w:r>
      <w:r w:rsidR="00BF29B7">
        <w:t>, which</w:t>
      </w:r>
      <w:r w:rsidR="000B16FA">
        <w:t xml:space="preserve"> is held by the TD Bank Investment </w:t>
      </w:r>
      <w:r w:rsidR="00BB3790">
        <w:t>Management Group as Trustee in P</w:t>
      </w:r>
      <w:r w:rsidR="000B16FA">
        <w:t>erpetuity for the benefit of the Unitarian</w:t>
      </w:r>
      <w:r w:rsidR="000B16FA">
        <w:noBreakHyphen/>
        <w:t>Un</w:t>
      </w:r>
      <w:r w:rsidR="007531EA">
        <w:t>iversalist Church of Nashua and the t</w:t>
      </w:r>
      <w:r w:rsidR="000B16FA">
        <w:t>wo Hele</w:t>
      </w:r>
      <w:r w:rsidR="007531EA">
        <w:t>n Willis Boutwell Funds,</w:t>
      </w:r>
      <w:r w:rsidR="000B16FA">
        <w:t xml:space="preserve"> held in perpetuity by the Unitarian-Universalist Association for our benefit.</w:t>
      </w:r>
    </w:p>
    <w:p w:rsidR="00BF29B7" w:rsidRDefault="00BF29B7" w:rsidP="000B16FA">
      <w:pPr>
        <w:pStyle w:val="BodyText2"/>
      </w:pPr>
    </w:p>
    <w:p w:rsidR="00D42336" w:rsidRDefault="00D42336">
      <w:pPr>
        <w:pStyle w:val="BodyText2"/>
      </w:pPr>
      <w:r>
        <w:t>For a summary of investment performance over the past five</w:t>
      </w:r>
      <w:r w:rsidR="00D1561E">
        <w:t xml:space="preserve"> and ten years, turn to</w:t>
      </w:r>
      <w:r>
        <w:t xml:space="preserve"> page </w:t>
      </w:r>
      <w:r w:rsidR="00D1561E">
        <w:t>3 of this report and for an Account Performance Summary, see</w:t>
      </w:r>
      <w:r w:rsidR="00FD5667">
        <w:t xml:space="preserve"> </w:t>
      </w:r>
      <w:r w:rsidR="00D1561E">
        <w:t>the last page. The</w:t>
      </w:r>
      <w:r>
        <w:t xml:space="preserve"> paragraphs that follow discuss our investment philosophy, with details of the funds, their composition, and their results.</w:t>
      </w:r>
    </w:p>
    <w:p w:rsidR="00777A87" w:rsidRDefault="00777A87">
      <w:pPr>
        <w:pStyle w:val="BodyText2"/>
      </w:pPr>
    </w:p>
    <w:p w:rsidR="00176A23" w:rsidRDefault="00176A23">
      <w:pPr>
        <w:jc w:val="both"/>
        <w:rPr>
          <w:rFonts w:ascii="Arial" w:hAnsi="Arial" w:cs="Arial"/>
          <w:sz w:val="20"/>
          <w:szCs w:val="20"/>
          <w:u w:val="single"/>
        </w:rPr>
      </w:pPr>
      <w:r w:rsidRPr="00176A23">
        <w:rPr>
          <w:rFonts w:ascii="Arial" w:hAnsi="Arial" w:cs="Arial"/>
          <w:sz w:val="20"/>
          <w:szCs w:val="20"/>
          <w:u w:val="single"/>
        </w:rPr>
        <w:t>OUR INVESTMENT POLICY</w:t>
      </w:r>
      <w:r>
        <w:rPr>
          <w:rFonts w:ascii="Arial" w:hAnsi="Arial" w:cs="Arial"/>
          <w:sz w:val="20"/>
          <w:szCs w:val="20"/>
          <w:u w:val="single"/>
        </w:rPr>
        <w:t xml:space="preserve"> AND RESULTS</w:t>
      </w:r>
    </w:p>
    <w:p w:rsidR="00401EA1" w:rsidRDefault="00401EA1">
      <w:pPr>
        <w:jc w:val="both"/>
        <w:rPr>
          <w:rFonts w:ascii="Arial" w:hAnsi="Arial" w:cs="Arial"/>
          <w:sz w:val="20"/>
          <w:szCs w:val="20"/>
        </w:rPr>
      </w:pPr>
    </w:p>
    <w:p w:rsidR="00775B20" w:rsidRDefault="00DC5080">
      <w:pPr>
        <w:jc w:val="both"/>
        <w:rPr>
          <w:rFonts w:ascii="Arial" w:hAnsi="Arial" w:cs="Arial"/>
          <w:sz w:val="20"/>
          <w:szCs w:val="20"/>
        </w:rPr>
      </w:pPr>
      <w:r>
        <w:rPr>
          <w:rFonts w:ascii="Arial" w:hAnsi="Arial" w:cs="Arial"/>
          <w:sz w:val="20"/>
          <w:szCs w:val="20"/>
        </w:rPr>
        <w:t>We</w:t>
      </w:r>
      <w:r w:rsidR="00401EA1">
        <w:rPr>
          <w:rFonts w:ascii="Arial" w:hAnsi="Arial" w:cs="Arial"/>
          <w:sz w:val="20"/>
          <w:szCs w:val="20"/>
        </w:rPr>
        <w:t xml:space="preserve"> </w:t>
      </w:r>
      <w:r w:rsidR="00BB3790">
        <w:rPr>
          <w:rFonts w:ascii="Arial" w:hAnsi="Arial" w:cs="Arial"/>
          <w:sz w:val="20"/>
          <w:szCs w:val="20"/>
        </w:rPr>
        <w:t xml:space="preserve">have and </w:t>
      </w:r>
      <w:r w:rsidR="00401EA1">
        <w:rPr>
          <w:rFonts w:ascii="Arial" w:hAnsi="Arial" w:cs="Arial"/>
          <w:sz w:val="20"/>
          <w:szCs w:val="20"/>
        </w:rPr>
        <w:t>use</w:t>
      </w:r>
      <w:r w:rsidR="00775B20">
        <w:rPr>
          <w:rFonts w:ascii="Arial" w:hAnsi="Arial" w:cs="Arial"/>
          <w:sz w:val="20"/>
          <w:szCs w:val="20"/>
        </w:rPr>
        <w:t xml:space="preserve"> Investment Policy Statements for both the Restric</w:t>
      </w:r>
      <w:r w:rsidR="00401EA1">
        <w:rPr>
          <w:rFonts w:ascii="Arial" w:hAnsi="Arial" w:cs="Arial"/>
          <w:sz w:val="20"/>
          <w:szCs w:val="20"/>
        </w:rPr>
        <w:t xml:space="preserve">ted and Unrestricted Funds </w:t>
      </w:r>
      <w:r w:rsidR="00775B20">
        <w:rPr>
          <w:rFonts w:ascii="Arial" w:hAnsi="Arial" w:cs="Arial"/>
          <w:sz w:val="20"/>
          <w:szCs w:val="20"/>
        </w:rPr>
        <w:t xml:space="preserve"> </w:t>
      </w:r>
      <w:r w:rsidR="00401EA1">
        <w:rPr>
          <w:rFonts w:ascii="Arial" w:hAnsi="Arial" w:cs="Arial"/>
          <w:sz w:val="20"/>
          <w:szCs w:val="20"/>
        </w:rPr>
        <w:t>to guide our thinking</w:t>
      </w:r>
      <w:r w:rsidR="00775B20">
        <w:rPr>
          <w:rFonts w:ascii="Arial" w:hAnsi="Arial" w:cs="Arial"/>
          <w:sz w:val="20"/>
          <w:szCs w:val="20"/>
        </w:rPr>
        <w:t xml:space="preserve"> regarding risk, investment objectives, time horizon, distribution arrangements, investment restrictions, asset allocation</w:t>
      </w:r>
      <w:r w:rsidR="00371997">
        <w:rPr>
          <w:rFonts w:ascii="Arial" w:hAnsi="Arial" w:cs="Arial"/>
          <w:sz w:val="20"/>
          <w:szCs w:val="20"/>
        </w:rPr>
        <w:t>, rebalancing strategy, and performanc</w:t>
      </w:r>
      <w:r w:rsidR="002571A4">
        <w:rPr>
          <w:rFonts w:ascii="Arial" w:hAnsi="Arial" w:cs="Arial"/>
          <w:sz w:val="20"/>
          <w:szCs w:val="20"/>
        </w:rPr>
        <w:t>e benchmarks</w:t>
      </w:r>
      <w:r w:rsidR="00401EA1">
        <w:rPr>
          <w:rFonts w:ascii="Arial" w:hAnsi="Arial" w:cs="Arial"/>
          <w:sz w:val="20"/>
          <w:szCs w:val="20"/>
        </w:rPr>
        <w:t>. Copies of the statements</w:t>
      </w:r>
      <w:r w:rsidR="002571A4">
        <w:rPr>
          <w:rFonts w:ascii="Arial" w:hAnsi="Arial" w:cs="Arial"/>
          <w:sz w:val="20"/>
          <w:szCs w:val="20"/>
        </w:rPr>
        <w:t xml:space="preserve"> </w:t>
      </w:r>
      <w:r w:rsidR="00371997">
        <w:rPr>
          <w:rFonts w:ascii="Arial" w:hAnsi="Arial" w:cs="Arial"/>
          <w:sz w:val="20"/>
          <w:szCs w:val="20"/>
        </w:rPr>
        <w:t>are available from members of the Committee and from the Church Office.</w:t>
      </w:r>
    </w:p>
    <w:p w:rsidR="006E59CD" w:rsidRDefault="006E59CD">
      <w:pPr>
        <w:jc w:val="both"/>
        <w:rPr>
          <w:rFonts w:ascii="Arial" w:hAnsi="Arial" w:cs="Arial"/>
          <w:sz w:val="20"/>
          <w:szCs w:val="20"/>
        </w:rPr>
      </w:pPr>
    </w:p>
    <w:p w:rsidR="00F61AB9" w:rsidRDefault="00F61AB9">
      <w:pPr>
        <w:jc w:val="both"/>
        <w:rPr>
          <w:rFonts w:ascii="Arial" w:hAnsi="Arial" w:cs="Arial"/>
          <w:sz w:val="20"/>
          <w:szCs w:val="20"/>
        </w:rPr>
      </w:pPr>
    </w:p>
    <w:p w:rsidR="00F61AB9" w:rsidRDefault="00F61AB9">
      <w:pPr>
        <w:jc w:val="both"/>
        <w:rPr>
          <w:rFonts w:ascii="Arial" w:hAnsi="Arial" w:cs="Arial"/>
          <w:sz w:val="20"/>
          <w:szCs w:val="20"/>
        </w:rPr>
      </w:pPr>
    </w:p>
    <w:p w:rsidR="00F61AB9" w:rsidRDefault="00DD2634" w:rsidP="0015420E">
      <w:pPr>
        <w:jc w:val="both"/>
        <w:rPr>
          <w:rFonts w:ascii="Arial" w:hAnsi="Arial" w:cs="Arial"/>
          <w:sz w:val="20"/>
          <w:szCs w:val="20"/>
        </w:rPr>
      </w:pPr>
      <w:r>
        <w:rPr>
          <w:rFonts w:ascii="Arial" w:hAnsi="Arial" w:cs="Arial"/>
          <w:sz w:val="20"/>
          <w:szCs w:val="20"/>
        </w:rPr>
        <w:lastRenderedPageBreak/>
        <w:t>As specified in our Policies</w:t>
      </w:r>
      <w:r w:rsidR="0015420E">
        <w:rPr>
          <w:rFonts w:ascii="Arial" w:hAnsi="Arial" w:cs="Arial"/>
          <w:sz w:val="20"/>
          <w:szCs w:val="20"/>
        </w:rPr>
        <w:t xml:space="preserve">, the investment objective for all our B of A funds is Balanced Return, which is defined as seeking long-term Total Return </w:t>
      </w:r>
      <w:r w:rsidR="00FD5667">
        <w:rPr>
          <w:rFonts w:ascii="Arial" w:hAnsi="Arial" w:cs="Arial"/>
          <w:sz w:val="20"/>
          <w:szCs w:val="20"/>
        </w:rPr>
        <w:t xml:space="preserve">(income plus principal growth) </w:t>
      </w:r>
      <w:r w:rsidR="0015420E">
        <w:rPr>
          <w:rFonts w:ascii="Arial" w:hAnsi="Arial" w:cs="Arial"/>
          <w:sz w:val="20"/>
          <w:szCs w:val="20"/>
        </w:rPr>
        <w:t xml:space="preserve">opportunities through </w:t>
      </w:r>
    </w:p>
    <w:p w:rsidR="0015420E" w:rsidRDefault="0015420E" w:rsidP="0015420E">
      <w:pPr>
        <w:jc w:val="both"/>
        <w:rPr>
          <w:rFonts w:ascii="Arial" w:hAnsi="Arial" w:cs="Arial"/>
          <w:sz w:val="20"/>
          <w:szCs w:val="20"/>
        </w:rPr>
      </w:pPr>
      <w:r w:rsidRPr="00F61AB9">
        <w:rPr>
          <w:rFonts w:ascii="Arial" w:hAnsi="Arial" w:cs="Arial"/>
          <w:sz w:val="20"/>
          <w:szCs w:val="20"/>
        </w:rPr>
        <w:t xml:space="preserve">investment in both equities and fixed income funds, with further allocations into large, medium and small </w:t>
      </w:r>
      <w:r>
        <w:rPr>
          <w:rFonts w:ascii="Arial" w:hAnsi="Arial" w:cs="Arial"/>
          <w:sz w:val="20"/>
          <w:szCs w:val="20"/>
        </w:rPr>
        <w:t xml:space="preserve">capitalization stock funds and foreign securities funds, plus smaller positions in real estate and tangible asset funds. </w:t>
      </w:r>
      <w:r w:rsidR="00D1561E">
        <w:rPr>
          <w:rFonts w:ascii="Arial" w:hAnsi="Arial" w:cs="Arial"/>
          <w:sz w:val="20"/>
          <w:szCs w:val="20"/>
        </w:rPr>
        <w:t xml:space="preserve">For both </w:t>
      </w:r>
      <w:r w:rsidR="00974EAE">
        <w:rPr>
          <w:rFonts w:ascii="Arial" w:hAnsi="Arial" w:cs="Arial"/>
          <w:sz w:val="20"/>
          <w:szCs w:val="20"/>
        </w:rPr>
        <w:t>the R</w:t>
      </w:r>
      <w:r w:rsidR="008C58B3">
        <w:rPr>
          <w:rFonts w:ascii="Arial" w:hAnsi="Arial" w:cs="Arial"/>
          <w:sz w:val="20"/>
          <w:szCs w:val="20"/>
        </w:rPr>
        <w:t xml:space="preserve">estricted </w:t>
      </w:r>
      <w:r w:rsidR="00D1561E">
        <w:rPr>
          <w:rFonts w:ascii="Arial" w:hAnsi="Arial" w:cs="Arial"/>
          <w:sz w:val="20"/>
          <w:szCs w:val="20"/>
        </w:rPr>
        <w:t>and Unrestricted</w:t>
      </w:r>
      <w:r w:rsidR="00DD2634">
        <w:rPr>
          <w:rFonts w:ascii="Arial" w:hAnsi="Arial" w:cs="Arial"/>
          <w:sz w:val="20"/>
          <w:szCs w:val="20"/>
        </w:rPr>
        <w:t xml:space="preserve"> Funds, t</w:t>
      </w:r>
      <w:r>
        <w:rPr>
          <w:rFonts w:ascii="Arial" w:hAnsi="Arial" w:cs="Arial"/>
          <w:sz w:val="20"/>
          <w:szCs w:val="20"/>
        </w:rPr>
        <w:t>he equi</w:t>
      </w:r>
      <w:r w:rsidR="00EB47CB">
        <w:rPr>
          <w:rFonts w:ascii="Arial" w:hAnsi="Arial" w:cs="Arial"/>
          <w:sz w:val="20"/>
          <w:szCs w:val="20"/>
        </w:rPr>
        <w:t>ties portion is to be between 50% and 70</w:t>
      </w:r>
      <w:r>
        <w:rPr>
          <w:rFonts w:ascii="Arial" w:hAnsi="Arial" w:cs="Arial"/>
          <w:sz w:val="20"/>
          <w:szCs w:val="20"/>
        </w:rPr>
        <w:t>% of th</w:t>
      </w:r>
      <w:r w:rsidR="00EB47CB">
        <w:rPr>
          <w:rFonts w:ascii="Arial" w:hAnsi="Arial" w:cs="Arial"/>
          <w:sz w:val="20"/>
          <w:szCs w:val="20"/>
        </w:rPr>
        <w:t>e total invested, with 30</w:t>
      </w:r>
      <w:r w:rsidR="00F57DB4">
        <w:rPr>
          <w:rFonts w:ascii="Arial" w:hAnsi="Arial" w:cs="Arial"/>
          <w:sz w:val="20"/>
          <w:szCs w:val="20"/>
        </w:rPr>
        <w:t>%</w:t>
      </w:r>
      <w:r w:rsidR="00EB47CB">
        <w:rPr>
          <w:rFonts w:ascii="Arial" w:hAnsi="Arial" w:cs="Arial"/>
          <w:sz w:val="20"/>
          <w:szCs w:val="20"/>
        </w:rPr>
        <w:t xml:space="preserve"> to 50%</w:t>
      </w:r>
      <w:r w:rsidR="00F57DB4">
        <w:rPr>
          <w:rFonts w:ascii="Arial" w:hAnsi="Arial" w:cs="Arial"/>
          <w:sz w:val="20"/>
          <w:szCs w:val="20"/>
        </w:rPr>
        <w:t xml:space="preserve"> percentage</w:t>
      </w:r>
      <w:r>
        <w:rPr>
          <w:rFonts w:ascii="Arial" w:hAnsi="Arial" w:cs="Arial"/>
          <w:sz w:val="20"/>
          <w:szCs w:val="20"/>
        </w:rPr>
        <w:t xml:space="preserve"> for the fixed income portion.  Real es</w:t>
      </w:r>
      <w:r w:rsidR="00EB47CB">
        <w:rPr>
          <w:rFonts w:ascii="Arial" w:hAnsi="Arial" w:cs="Arial"/>
          <w:sz w:val="20"/>
          <w:szCs w:val="20"/>
        </w:rPr>
        <w:t>tate may be between 0.00% and 8.00%</w:t>
      </w:r>
      <w:r w:rsidR="00F57DB4">
        <w:rPr>
          <w:rFonts w:ascii="Arial" w:hAnsi="Arial" w:cs="Arial"/>
          <w:sz w:val="20"/>
          <w:szCs w:val="20"/>
        </w:rPr>
        <w:t>,</w:t>
      </w:r>
      <w:r>
        <w:rPr>
          <w:rFonts w:ascii="Arial" w:hAnsi="Arial" w:cs="Arial"/>
          <w:sz w:val="20"/>
          <w:szCs w:val="20"/>
        </w:rPr>
        <w:t xml:space="preserve"> with tan</w:t>
      </w:r>
      <w:r w:rsidR="00DD2634">
        <w:rPr>
          <w:rFonts w:ascii="Arial" w:hAnsi="Arial" w:cs="Arial"/>
          <w:sz w:val="20"/>
          <w:szCs w:val="20"/>
        </w:rPr>
        <w:t>gible assets between 0% and 6</w:t>
      </w:r>
      <w:r>
        <w:rPr>
          <w:rFonts w:ascii="Arial" w:hAnsi="Arial" w:cs="Arial"/>
          <w:sz w:val="20"/>
          <w:szCs w:val="20"/>
        </w:rPr>
        <w:t>%. The Bank’s performance benchmark for equities is the Standard and Poor’s 500 and for fixed income, the Barclays Capital Aggregated Bond Index.  Long term, we seek an 8% Total Retur</w:t>
      </w:r>
      <w:r w:rsidR="00BB3790">
        <w:rPr>
          <w:rFonts w:ascii="Arial" w:hAnsi="Arial" w:cs="Arial"/>
          <w:sz w:val="20"/>
          <w:szCs w:val="20"/>
        </w:rPr>
        <w:t>n</w:t>
      </w:r>
      <w:r>
        <w:rPr>
          <w:rFonts w:ascii="Arial" w:hAnsi="Arial" w:cs="Arial"/>
          <w:sz w:val="20"/>
          <w:szCs w:val="20"/>
        </w:rPr>
        <w:t xml:space="preserve"> over several years, which many investment advisors consider reasonable for a Balanced Return account.  This should allow us to draw about 4% to 4.5% of the average value of the funds over twenty quarters, leaving about 3% for inflation and about 1% for growth.</w:t>
      </w:r>
    </w:p>
    <w:p w:rsidR="0015420E" w:rsidRDefault="0015420E" w:rsidP="0015420E">
      <w:pPr>
        <w:jc w:val="both"/>
        <w:rPr>
          <w:rFonts w:ascii="Arial" w:hAnsi="Arial" w:cs="Arial"/>
          <w:sz w:val="20"/>
          <w:szCs w:val="20"/>
        </w:rPr>
      </w:pPr>
    </w:p>
    <w:p w:rsidR="0015420E" w:rsidRDefault="00FD5667" w:rsidP="0015420E">
      <w:pPr>
        <w:jc w:val="both"/>
        <w:rPr>
          <w:rFonts w:ascii="Arial" w:hAnsi="Arial" w:cs="Arial"/>
          <w:sz w:val="20"/>
          <w:szCs w:val="20"/>
        </w:rPr>
      </w:pPr>
      <w:r>
        <w:rPr>
          <w:rFonts w:ascii="Arial" w:hAnsi="Arial" w:cs="Arial"/>
          <w:sz w:val="20"/>
          <w:szCs w:val="20"/>
        </w:rPr>
        <w:t xml:space="preserve">Our SRI account, which B of A calls their </w:t>
      </w:r>
      <w:r w:rsidR="00A777EF">
        <w:rPr>
          <w:rFonts w:ascii="Arial" w:hAnsi="Arial" w:cs="Arial"/>
          <w:sz w:val="20"/>
          <w:szCs w:val="20"/>
        </w:rPr>
        <w:t>S21M account, holds individual stocks, although we have no say in their selection.  The rest of the B of A funds are in mutual</w:t>
      </w:r>
      <w:r w:rsidR="00BB3790">
        <w:rPr>
          <w:rFonts w:ascii="Arial" w:hAnsi="Arial" w:cs="Arial"/>
          <w:sz w:val="20"/>
          <w:szCs w:val="20"/>
        </w:rPr>
        <w:t xml:space="preserve"> and exchange traded funds, reflecting a decision made six years ago after considerable thought and consultation.</w:t>
      </w:r>
    </w:p>
    <w:p w:rsidR="009A2107" w:rsidRDefault="00727857" w:rsidP="00237BB1">
      <w:pPr>
        <w:spacing w:before="240"/>
        <w:jc w:val="both"/>
        <w:rPr>
          <w:rFonts w:ascii="Arial" w:hAnsi="Arial" w:cs="Arial"/>
          <w:sz w:val="20"/>
          <w:szCs w:val="20"/>
        </w:rPr>
      </w:pPr>
      <w:r>
        <w:rPr>
          <w:rFonts w:ascii="Arial" w:hAnsi="Arial" w:cs="Arial"/>
          <w:sz w:val="20"/>
          <w:szCs w:val="20"/>
        </w:rPr>
        <w:t>The total of the B of A funds</w:t>
      </w:r>
      <w:r w:rsidR="00FC043B">
        <w:rPr>
          <w:rFonts w:ascii="Arial" w:hAnsi="Arial" w:cs="Arial"/>
          <w:sz w:val="20"/>
          <w:szCs w:val="20"/>
        </w:rPr>
        <w:t>, including the Community Loan Fund,</w:t>
      </w:r>
      <w:r>
        <w:rPr>
          <w:rFonts w:ascii="Arial" w:hAnsi="Arial" w:cs="Arial"/>
          <w:sz w:val="20"/>
          <w:szCs w:val="20"/>
        </w:rPr>
        <w:t xml:space="preserve"> as of </w:t>
      </w:r>
      <w:r w:rsidR="00A777EF">
        <w:rPr>
          <w:rFonts w:ascii="Arial" w:hAnsi="Arial" w:cs="Arial"/>
          <w:sz w:val="20"/>
          <w:szCs w:val="20"/>
        </w:rPr>
        <w:t>April 30th</w:t>
      </w:r>
      <w:r>
        <w:rPr>
          <w:rFonts w:ascii="Arial" w:hAnsi="Arial" w:cs="Arial"/>
          <w:sz w:val="20"/>
          <w:szCs w:val="20"/>
        </w:rPr>
        <w:t xml:space="preserve"> was </w:t>
      </w:r>
      <w:r w:rsidR="00A777EF">
        <w:rPr>
          <w:rFonts w:ascii="Arial" w:hAnsi="Arial" w:cs="Arial"/>
          <w:sz w:val="20"/>
          <w:szCs w:val="20"/>
        </w:rPr>
        <w:t>$3,683,936</w:t>
      </w:r>
      <w:r w:rsidR="008C58B3">
        <w:rPr>
          <w:rFonts w:ascii="Arial" w:hAnsi="Arial" w:cs="Arial"/>
          <w:color w:val="C00000"/>
          <w:sz w:val="20"/>
          <w:szCs w:val="20"/>
        </w:rPr>
        <w:t xml:space="preserve"> </w:t>
      </w:r>
      <w:r w:rsidR="008C58B3">
        <w:rPr>
          <w:rFonts w:ascii="Arial" w:hAnsi="Arial" w:cs="Arial"/>
          <w:sz w:val="20"/>
          <w:szCs w:val="20"/>
        </w:rPr>
        <w:t>(</w:t>
      </w:r>
      <w:r w:rsidR="004A1E71">
        <w:rPr>
          <w:rFonts w:ascii="Arial" w:hAnsi="Arial" w:cs="Arial"/>
          <w:sz w:val="20"/>
          <w:szCs w:val="20"/>
        </w:rPr>
        <w:t>$</w:t>
      </w:r>
      <w:r w:rsidR="008C58B3">
        <w:rPr>
          <w:rFonts w:ascii="Arial" w:hAnsi="Arial" w:cs="Arial"/>
          <w:sz w:val="20"/>
          <w:szCs w:val="20"/>
        </w:rPr>
        <w:t>3,</w:t>
      </w:r>
      <w:r w:rsidR="00A777EF">
        <w:rPr>
          <w:rFonts w:ascii="Arial" w:hAnsi="Arial" w:cs="Arial"/>
          <w:sz w:val="20"/>
          <w:szCs w:val="20"/>
        </w:rPr>
        <w:t>668,445</w:t>
      </w:r>
      <w:r w:rsidRPr="001B4396">
        <w:rPr>
          <w:rFonts w:ascii="Arial" w:hAnsi="Arial" w:cs="Arial"/>
          <w:color w:val="C00000"/>
          <w:sz w:val="20"/>
          <w:szCs w:val="20"/>
        </w:rPr>
        <w:t xml:space="preserve"> </w:t>
      </w:r>
      <w:r w:rsidR="001B4396">
        <w:rPr>
          <w:rFonts w:ascii="Arial" w:hAnsi="Arial" w:cs="Arial"/>
          <w:sz w:val="20"/>
          <w:szCs w:val="20"/>
        </w:rPr>
        <w:t>at the end May last year</w:t>
      </w:r>
      <w:r w:rsidR="004A1E71">
        <w:rPr>
          <w:rFonts w:ascii="Arial" w:hAnsi="Arial" w:cs="Arial"/>
          <w:sz w:val="20"/>
          <w:szCs w:val="20"/>
        </w:rPr>
        <w:t xml:space="preserve">). </w:t>
      </w:r>
      <w:r w:rsidR="002E772C">
        <w:rPr>
          <w:rFonts w:ascii="Arial" w:hAnsi="Arial" w:cs="Arial"/>
          <w:sz w:val="20"/>
          <w:szCs w:val="20"/>
        </w:rPr>
        <w:t>The Restri</w:t>
      </w:r>
      <w:r w:rsidR="00FD11E0">
        <w:rPr>
          <w:rFonts w:ascii="Arial" w:hAnsi="Arial" w:cs="Arial"/>
          <w:sz w:val="20"/>
          <w:szCs w:val="20"/>
        </w:rPr>
        <w:t>cted portion</w:t>
      </w:r>
      <w:r w:rsidR="00EE4F82">
        <w:rPr>
          <w:rFonts w:ascii="Arial" w:hAnsi="Arial" w:cs="Arial"/>
          <w:sz w:val="20"/>
          <w:szCs w:val="20"/>
        </w:rPr>
        <w:t xml:space="preserve"> was </w:t>
      </w:r>
      <w:r w:rsidR="001B4396">
        <w:rPr>
          <w:rFonts w:ascii="Arial" w:hAnsi="Arial" w:cs="Arial"/>
          <w:sz w:val="20"/>
          <w:szCs w:val="20"/>
        </w:rPr>
        <w:t xml:space="preserve">worth </w:t>
      </w:r>
      <w:r w:rsidR="004A1E71">
        <w:rPr>
          <w:rFonts w:ascii="Arial" w:hAnsi="Arial" w:cs="Arial"/>
          <w:sz w:val="20"/>
          <w:szCs w:val="20"/>
        </w:rPr>
        <w:t>$</w:t>
      </w:r>
      <w:r w:rsidR="00A777EF">
        <w:rPr>
          <w:rFonts w:ascii="Arial" w:hAnsi="Arial" w:cs="Arial"/>
          <w:sz w:val="20"/>
          <w:szCs w:val="20"/>
        </w:rPr>
        <w:t>126,785</w:t>
      </w:r>
      <w:r w:rsidR="005743FF" w:rsidRPr="001B4396">
        <w:rPr>
          <w:rFonts w:ascii="Arial" w:hAnsi="Arial" w:cs="Arial"/>
          <w:color w:val="C00000"/>
          <w:sz w:val="20"/>
          <w:szCs w:val="20"/>
        </w:rPr>
        <w:t xml:space="preserve"> </w:t>
      </w:r>
      <w:r w:rsidR="00A777EF">
        <w:rPr>
          <w:rFonts w:ascii="Arial" w:hAnsi="Arial" w:cs="Arial"/>
          <w:sz w:val="20"/>
          <w:szCs w:val="20"/>
        </w:rPr>
        <w:t>($134,726</w:t>
      </w:r>
      <w:r w:rsidR="004A1E71">
        <w:rPr>
          <w:rFonts w:ascii="Arial" w:hAnsi="Arial" w:cs="Arial"/>
          <w:sz w:val="20"/>
          <w:szCs w:val="20"/>
        </w:rPr>
        <w:t xml:space="preserve"> </w:t>
      </w:r>
      <w:r w:rsidR="00F91AF5">
        <w:rPr>
          <w:rFonts w:ascii="Arial" w:hAnsi="Arial" w:cs="Arial"/>
          <w:sz w:val="20"/>
          <w:szCs w:val="20"/>
        </w:rPr>
        <w:t xml:space="preserve">at the end of May </w:t>
      </w:r>
      <w:r w:rsidR="004A1E71">
        <w:rPr>
          <w:rFonts w:ascii="Arial" w:hAnsi="Arial" w:cs="Arial"/>
          <w:sz w:val="20"/>
          <w:szCs w:val="20"/>
        </w:rPr>
        <w:t>last year</w:t>
      </w:r>
      <w:r w:rsidR="00F91AF5">
        <w:rPr>
          <w:rFonts w:ascii="Arial" w:hAnsi="Arial" w:cs="Arial"/>
          <w:sz w:val="20"/>
          <w:szCs w:val="20"/>
        </w:rPr>
        <w:t>)</w:t>
      </w:r>
      <w:r w:rsidR="00666809">
        <w:rPr>
          <w:rFonts w:ascii="Arial" w:hAnsi="Arial" w:cs="Arial"/>
          <w:sz w:val="20"/>
          <w:szCs w:val="20"/>
        </w:rPr>
        <w:t>, and produced</w:t>
      </w:r>
      <w:r w:rsidR="00A777EF">
        <w:rPr>
          <w:rFonts w:ascii="Arial" w:hAnsi="Arial" w:cs="Arial"/>
          <w:sz w:val="20"/>
          <w:szCs w:val="20"/>
        </w:rPr>
        <w:t xml:space="preserve"> $2,873</w:t>
      </w:r>
      <w:r w:rsidR="00684DD3">
        <w:rPr>
          <w:rFonts w:ascii="Arial" w:hAnsi="Arial" w:cs="Arial"/>
          <w:sz w:val="20"/>
          <w:szCs w:val="20"/>
        </w:rPr>
        <w:t xml:space="preserve"> of net dividend and interest income </w:t>
      </w:r>
      <w:r w:rsidR="006B02B1">
        <w:rPr>
          <w:rFonts w:ascii="Arial" w:hAnsi="Arial" w:cs="Arial"/>
          <w:sz w:val="20"/>
          <w:szCs w:val="20"/>
        </w:rPr>
        <w:t xml:space="preserve">so far </w:t>
      </w:r>
      <w:r w:rsidR="00684DD3">
        <w:rPr>
          <w:rFonts w:ascii="Arial" w:hAnsi="Arial" w:cs="Arial"/>
          <w:sz w:val="20"/>
          <w:szCs w:val="20"/>
        </w:rPr>
        <w:t>this year.  The Unrestricted fi</w:t>
      </w:r>
      <w:r w:rsidR="006B02B1">
        <w:rPr>
          <w:rFonts w:ascii="Arial" w:hAnsi="Arial" w:cs="Arial"/>
          <w:sz w:val="20"/>
          <w:szCs w:val="20"/>
        </w:rPr>
        <w:t>gures are $3,557,151 ($3,533,719</w:t>
      </w:r>
      <w:r w:rsidR="00684DD3">
        <w:rPr>
          <w:rFonts w:ascii="Arial" w:hAnsi="Arial" w:cs="Arial"/>
          <w:sz w:val="20"/>
          <w:szCs w:val="20"/>
        </w:rPr>
        <w:t xml:space="preserve"> at the end </w:t>
      </w:r>
      <w:r w:rsidR="00A5560E">
        <w:rPr>
          <w:rFonts w:ascii="Arial" w:hAnsi="Arial" w:cs="Arial"/>
          <w:sz w:val="20"/>
          <w:szCs w:val="20"/>
        </w:rPr>
        <w:t>of</w:t>
      </w:r>
      <w:r w:rsidR="006B02B1">
        <w:rPr>
          <w:rFonts w:ascii="Arial" w:hAnsi="Arial" w:cs="Arial"/>
          <w:sz w:val="20"/>
          <w:szCs w:val="20"/>
        </w:rPr>
        <w:t xml:space="preserve"> May 2013), with $61,474</w:t>
      </w:r>
      <w:r w:rsidR="00684DD3">
        <w:rPr>
          <w:rFonts w:ascii="Arial" w:hAnsi="Arial" w:cs="Arial"/>
          <w:sz w:val="20"/>
          <w:szCs w:val="20"/>
        </w:rPr>
        <w:t xml:space="preserve"> of net dividends and interest.</w:t>
      </w:r>
      <w:r w:rsidR="009A2107">
        <w:rPr>
          <w:rFonts w:ascii="Arial" w:hAnsi="Arial" w:cs="Arial"/>
          <w:color w:val="C00000"/>
          <w:sz w:val="20"/>
          <w:szCs w:val="20"/>
        </w:rPr>
        <w:t xml:space="preserve"> </w:t>
      </w:r>
      <w:r w:rsidR="00FC043B" w:rsidRPr="00FC5A2E">
        <w:rPr>
          <w:rFonts w:ascii="Arial" w:hAnsi="Arial" w:cs="Arial"/>
          <w:b/>
          <w:sz w:val="20"/>
          <w:szCs w:val="20"/>
        </w:rPr>
        <w:t>NOTE</w:t>
      </w:r>
      <w:r w:rsidR="00FC043B">
        <w:rPr>
          <w:rFonts w:ascii="Arial" w:hAnsi="Arial" w:cs="Arial"/>
          <w:sz w:val="20"/>
          <w:szCs w:val="20"/>
        </w:rPr>
        <w:t xml:space="preserve"> that these</w:t>
      </w:r>
      <w:r>
        <w:rPr>
          <w:rFonts w:ascii="Arial" w:hAnsi="Arial" w:cs="Arial"/>
          <w:sz w:val="20"/>
          <w:szCs w:val="20"/>
        </w:rPr>
        <w:t xml:space="preserve"> </w:t>
      </w:r>
      <w:r w:rsidR="00FC043B">
        <w:rPr>
          <w:rFonts w:ascii="Arial" w:hAnsi="Arial" w:cs="Arial"/>
          <w:sz w:val="20"/>
          <w:szCs w:val="20"/>
        </w:rPr>
        <w:t xml:space="preserve">income figures are </w:t>
      </w:r>
      <w:r w:rsidR="00FC043B" w:rsidRPr="00FC5A2E">
        <w:rPr>
          <w:rFonts w:ascii="Arial" w:hAnsi="Arial" w:cs="Arial"/>
          <w:sz w:val="20"/>
          <w:szCs w:val="20"/>
          <w:u w:val="single"/>
        </w:rPr>
        <w:t>not</w:t>
      </w:r>
      <w:r w:rsidR="00FC043B">
        <w:rPr>
          <w:rFonts w:ascii="Arial" w:hAnsi="Arial" w:cs="Arial"/>
          <w:sz w:val="20"/>
          <w:szCs w:val="20"/>
        </w:rPr>
        <w:t xml:space="preserve"> </w:t>
      </w:r>
      <w:r w:rsidR="00FC5A2E">
        <w:rPr>
          <w:rFonts w:ascii="Arial" w:hAnsi="Arial" w:cs="Arial"/>
          <w:sz w:val="20"/>
          <w:szCs w:val="20"/>
        </w:rPr>
        <w:t>the total received by the Church</w:t>
      </w:r>
      <w:r w:rsidR="000F0C6D">
        <w:rPr>
          <w:rFonts w:ascii="Arial" w:hAnsi="Arial" w:cs="Arial"/>
          <w:sz w:val="20"/>
          <w:szCs w:val="20"/>
        </w:rPr>
        <w:t>, which gets the 4.5%</w:t>
      </w:r>
      <w:r w:rsidR="00FC5A2E">
        <w:rPr>
          <w:rFonts w:ascii="Arial" w:hAnsi="Arial" w:cs="Arial"/>
          <w:sz w:val="20"/>
          <w:szCs w:val="20"/>
        </w:rPr>
        <w:t xml:space="preserve"> of rolling quarters, </w:t>
      </w:r>
      <w:r w:rsidR="000F0C6D">
        <w:rPr>
          <w:rFonts w:ascii="Arial" w:hAnsi="Arial" w:cs="Arial"/>
          <w:sz w:val="20"/>
          <w:szCs w:val="20"/>
        </w:rPr>
        <w:t xml:space="preserve">as </w:t>
      </w:r>
      <w:r w:rsidR="00FC5A2E">
        <w:rPr>
          <w:rFonts w:ascii="Arial" w:hAnsi="Arial" w:cs="Arial"/>
          <w:sz w:val="20"/>
          <w:szCs w:val="20"/>
        </w:rPr>
        <w:t>described above.  The figures for actual receipts are in the Treasurer’s report.</w:t>
      </w:r>
      <w:r w:rsidR="00FC043B">
        <w:rPr>
          <w:rFonts w:ascii="Arial" w:hAnsi="Arial" w:cs="Arial"/>
          <w:sz w:val="20"/>
          <w:szCs w:val="20"/>
        </w:rPr>
        <w:t xml:space="preserve"> </w:t>
      </w:r>
      <w:r w:rsidR="00A45CA3">
        <w:rPr>
          <w:rFonts w:ascii="Arial" w:hAnsi="Arial" w:cs="Arial"/>
          <w:sz w:val="20"/>
          <w:szCs w:val="20"/>
        </w:rPr>
        <w:t>Included in the B of A</w:t>
      </w:r>
      <w:r w:rsidR="009A2107">
        <w:rPr>
          <w:rFonts w:ascii="Arial" w:hAnsi="Arial" w:cs="Arial"/>
          <w:sz w:val="20"/>
          <w:szCs w:val="20"/>
        </w:rPr>
        <w:t xml:space="preserve"> fund figures</w:t>
      </w:r>
      <w:r w:rsidR="00651678">
        <w:rPr>
          <w:rFonts w:ascii="Arial" w:hAnsi="Arial" w:cs="Arial"/>
          <w:sz w:val="20"/>
          <w:szCs w:val="20"/>
        </w:rPr>
        <w:t xml:space="preserve"> are</w:t>
      </w:r>
      <w:r w:rsidR="009A2107">
        <w:rPr>
          <w:rFonts w:ascii="Arial" w:hAnsi="Arial" w:cs="Arial"/>
          <w:sz w:val="20"/>
          <w:szCs w:val="20"/>
        </w:rPr>
        <w:t xml:space="preserve"> three</w:t>
      </w:r>
      <w:r w:rsidR="00A45CA3">
        <w:rPr>
          <w:rFonts w:ascii="Arial" w:hAnsi="Arial" w:cs="Arial"/>
          <w:sz w:val="20"/>
          <w:szCs w:val="20"/>
        </w:rPr>
        <w:t xml:space="preserve"> seven year notes totaling</w:t>
      </w:r>
      <w:r w:rsidR="00E65A5B">
        <w:rPr>
          <w:rFonts w:ascii="Arial" w:hAnsi="Arial" w:cs="Arial"/>
          <w:sz w:val="20"/>
          <w:szCs w:val="20"/>
        </w:rPr>
        <w:t xml:space="preserve"> </w:t>
      </w:r>
      <w:r w:rsidR="00E65A5B" w:rsidRPr="00A45CA3">
        <w:rPr>
          <w:rFonts w:ascii="Arial" w:hAnsi="Arial" w:cs="Arial"/>
          <w:sz w:val="20"/>
          <w:szCs w:val="20"/>
        </w:rPr>
        <w:t>$</w:t>
      </w:r>
      <w:r w:rsidR="009A2107">
        <w:rPr>
          <w:rFonts w:ascii="Arial" w:hAnsi="Arial" w:cs="Arial"/>
          <w:sz w:val="20"/>
          <w:szCs w:val="20"/>
        </w:rPr>
        <w:t>75</w:t>
      </w:r>
      <w:r w:rsidR="00012ED4" w:rsidRPr="00A45CA3">
        <w:rPr>
          <w:rFonts w:ascii="Arial" w:hAnsi="Arial" w:cs="Arial"/>
          <w:sz w:val="20"/>
          <w:szCs w:val="20"/>
        </w:rPr>
        <w:t>,000</w:t>
      </w:r>
      <w:r w:rsidR="00E65A5B" w:rsidRPr="00E65A5B">
        <w:rPr>
          <w:rFonts w:ascii="Arial" w:hAnsi="Arial" w:cs="Arial"/>
          <w:color w:val="C00000"/>
          <w:sz w:val="20"/>
          <w:szCs w:val="20"/>
        </w:rPr>
        <w:t xml:space="preserve"> </w:t>
      </w:r>
      <w:r w:rsidR="00E65A5B">
        <w:rPr>
          <w:rFonts w:ascii="Arial" w:hAnsi="Arial" w:cs="Arial"/>
          <w:sz w:val="20"/>
          <w:szCs w:val="20"/>
        </w:rPr>
        <w:t xml:space="preserve">of the New Hampshire Community Loan Fund, yielding </w:t>
      </w:r>
      <w:r w:rsidR="00E65A5B" w:rsidRPr="00E65A5B">
        <w:rPr>
          <w:rFonts w:ascii="Arial" w:hAnsi="Arial" w:cs="Arial"/>
          <w:sz w:val="20"/>
          <w:szCs w:val="20"/>
        </w:rPr>
        <w:t>4.0</w:t>
      </w:r>
      <w:r w:rsidR="00E65A5B">
        <w:rPr>
          <w:rFonts w:ascii="Arial" w:hAnsi="Arial" w:cs="Arial"/>
          <w:sz w:val="20"/>
          <w:szCs w:val="20"/>
        </w:rPr>
        <w:t>%</w:t>
      </w:r>
      <w:r w:rsidR="00A45CA3">
        <w:rPr>
          <w:rFonts w:ascii="Arial" w:hAnsi="Arial" w:cs="Arial"/>
          <w:sz w:val="20"/>
          <w:szCs w:val="20"/>
        </w:rPr>
        <w:t>.</w:t>
      </w:r>
    </w:p>
    <w:p w:rsidR="002E772C" w:rsidRDefault="00A45CA3" w:rsidP="00237BB1">
      <w:pPr>
        <w:spacing w:before="240"/>
        <w:jc w:val="both"/>
        <w:rPr>
          <w:rFonts w:ascii="Arial" w:hAnsi="Arial" w:cs="Arial"/>
          <w:sz w:val="20"/>
          <w:szCs w:val="20"/>
        </w:rPr>
      </w:pPr>
      <w:r>
        <w:rPr>
          <w:rFonts w:ascii="Arial" w:hAnsi="Arial" w:cs="Arial"/>
          <w:sz w:val="20"/>
          <w:szCs w:val="20"/>
        </w:rPr>
        <w:t xml:space="preserve">  </w:t>
      </w:r>
      <w:r w:rsidR="00F35CF4">
        <w:rPr>
          <w:rFonts w:ascii="Arial" w:hAnsi="Arial" w:cs="Arial"/>
          <w:sz w:val="20"/>
          <w:szCs w:val="20"/>
        </w:rPr>
        <w:t>The Bank’s fee schedule</w:t>
      </w:r>
      <w:r w:rsidR="00F57DB4">
        <w:rPr>
          <w:rFonts w:ascii="Arial" w:hAnsi="Arial" w:cs="Arial"/>
          <w:sz w:val="20"/>
          <w:szCs w:val="20"/>
        </w:rPr>
        <w:t xml:space="preserve"> </w:t>
      </w:r>
      <w:r w:rsidR="00651678">
        <w:rPr>
          <w:rFonts w:ascii="Arial" w:hAnsi="Arial" w:cs="Arial"/>
          <w:sz w:val="20"/>
          <w:szCs w:val="20"/>
        </w:rPr>
        <w:t>is as follows:</w:t>
      </w:r>
    </w:p>
    <w:p w:rsidR="00651678" w:rsidRPr="00D42D47" w:rsidRDefault="00651678" w:rsidP="00651678">
      <w:pPr>
        <w:tabs>
          <w:tab w:val="left" w:pos="-1440"/>
        </w:tabs>
        <w:jc w:val="both"/>
        <w:rPr>
          <w:rFonts w:ascii="Arial (W1)" w:hAnsi="Arial (W1)" w:cs="Arial (W1)"/>
          <w:sz w:val="20"/>
          <w:szCs w:val="20"/>
        </w:rPr>
      </w:pPr>
      <w:r>
        <w:rPr>
          <w:rFonts w:ascii="Arial (W1)" w:hAnsi="Arial (W1)" w:cs="Arial (W1)"/>
          <w:sz w:val="20"/>
          <w:szCs w:val="20"/>
        </w:rPr>
        <w:tab/>
      </w:r>
      <w:r w:rsidRPr="00D42D47">
        <w:rPr>
          <w:rFonts w:ascii="Arial (W1)" w:hAnsi="Arial (W1)" w:cs="Arial (W1)"/>
          <w:sz w:val="20"/>
          <w:szCs w:val="20"/>
        </w:rPr>
        <w:t xml:space="preserve">1.01% of first $1, 000,000 </w:t>
      </w:r>
    </w:p>
    <w:p w:rsidR="00651678" w:rsidRPr="00D42D47" w:rsidRDefault="00651678" w:rsidP="00651678">
      <w:pPr>
        <w:tabs>
          <w:tab w:val="left" w:pos="-1440"/>
        </w:tabs>
        <w:jc w:val="both"/>
        <w:rPr>
          <w:rFonts w:ascii="Arial (W1)" w:hAnsi="Arial (W1)" w:cs="Arial (W1)"/>
          <w:sz w:val="20"/>
          <w:szCs w:val="20"/>
        </w:rPr>
      </w:pPr>
      <w:r w:rsidRPr="00D42D47">
        <w:rPr>
          <w:rFonts w:ascii="Arial (W1)" w:hAnsi="Arial (W1)" w:cs="Arial (W1)"/>
          <w:sz w:val="20"/>
          <w:szCs w:val="20"/>
        </w:rPr>
        <w:tab/>
        <w:t>0.63% of next $2,000,000</w:t>
      </w:r>
      <w:r>
        <w:rPr>
          <w:rFonts w:ascii="Arial (W1)" w:hAnsi="Arial (W1)" w:cs="Arial (W1)"/>
          <w:sz w:val="20"/>
          <w:szCs w:val="20"/>
        </w:rPr>
        <w:tab/>
      </w:r>
    </w:p>
    <w:p w:rsidR="00651678" w:rsidRDefault="00651678" w:rsidP="00651678">
      <w:pPr>
        <w:tabs>
          <w:tab w:val="left" w:pos="-1440"/>
        </w:tabs>
        <w:jc w:val="both"/>
        <w:rPr>
          <w:rFonts w:ascii="Arial (W1)" w:hAnsi="Arial (W1)" w:cs="Arial (W1)"/>
          <w:sz w:val="20"/>
          <w:szCs w:val="20"/>
        </w:rPr>
      </w:pPr>
      <w:r w:rsidRPr="00D42D47">
        <w:rPr>
          <w:rFonts w:ascii="Arial (W1)" w:hAnsi="Arial (W1)" w:cs="Arial (W1)"/>
          <w:sz w:val="20"/>
          <w:szCs w:val="20"/>
        </w:rPr>
        <w:tab/>
        <w:t xml:space="preserve">0.48% of next $2,000,000 </w:t>
      </w:r>
    </w:p>
    <w:p w:rsidR="00F51720" w:rsidRDefault="00651678">
      <w:pPr>
        <w:jc w:val="both"/>
        <w:rPr>
          <w:rFonts w:ascii="Arial" w:hAnsi="Arial" w:cs="Arial"/>
          <w:sz w:val="20"/>
          <w:szCs w:val="20"/>
        </w:rPr>
      </w:pPr>
      <w:r>
        <w:rPr>
          <w:rFonts w:ascii="Arial" w:hAnsi="Arial" w:cs="Arial"/>
          <w:sz w:val="20"/>
          <w:szCs w:val="20"/>
        </w:rPr>
        <w:t>In accordance with t</w:t>
      </w:r>
      <w:r w:rsidR="00F35CF4">
        <w:rPr>
          <w:rFonts w:ascii="Arial" w:hAnsi="Arial" w:cs="Arial"/>
          <w:sz w:val="20"/>
          <w:szCs w:val="20"/>
        </w:rPr>
        <w:t xml:space="preserve">his schedule, our fees </w:t>
      </w:r>
      <w:r>
        <w:rPr>
          <w:rFonts w:ascii="Arial" w:hAnsi="Arial" w:cs="Arial"/>
          <w:sz w:val="20"/>
          <w:szCs w:val="20"/>
        </w:rPr>
        <w:t xml:space="preserve">for the year </w:t>
      </w:r>
      <w:r w:rsidRPr="00651678">
        <w:rPr>
          <w:rFonts w:ascii="Arial" w:hAnsi="Arial" w:cs="Arial"/>
          <w:sz w:val="20"/>
          <w:szCs w:val="20"/>
        </w:rPr>
        <w:t>were</w:t>
      </w:r>
      <w:r w:rsidR="00A5560E">
        <w:rPr>
          <w:rFonts w:ascii="Arial" w:hAnsi="Arial" w:cs="Arial"/>
          <w:color w:val="FF0000"/>
          <w:sz w:val="20"/>
          <w:szCs w:val="20"/>
        </w:rPr>
        <w:t xml:space="preserve"> </w:t>
      </w:r>
      <w:r w:rsidR="00FC61E3">
        <w:rPr>
          <w:rFonts w:ascii="Arial" w:hAnsi="Arial" w:cs="Arial"/>
          <w:sz w:val="20"/>
          <w:szCs w:val="20"/>
        </w:rPr>
        <w:t>$19,665</w:t>
      </w:r>
      <w:r w:rsidR="00F35CF4" w:rsidRPr="00A5560E">
        <w:rPr>
          <w:rFonts w:ascii="Arial" w:hAnsi="Arial" w:cs="Arial"/>
          <w:sz w:val="20"/>
          <w:szCs w:val="20"/>
        </w:rPr>
        <w:t xml:space="preserve"> </w:t>
      </w:r>
      <w:r w:rsidR="00FD7BE5">
        <w:rPr>
          <w:rFonts w:ascii="Arial" w:hAnsi="Arial" w:cs="Arial"/>
          <w:sz w:val="20"/>
          <w:szCs w:val="20"/>
        </w:rPr>
        <w:t>m</w:t>
      </w:r>
      <w:r w:rsidR="00F35CF4">
        <w:rPr>
          <w:rFonts w:ascii="Arial" w:hAnsi="Arial" w:cs="Arial"/>
          <w:sz w:val="20"/>
          <w:szCs w:val="20"/>
        </w:rPr>
        <w:t>utua</w:t>
      </w:r>
      <w:r w:rsidR="00FD7BE5">
        <w:rPr>
          <w:rFonts w:ascii="Arial" w:hAnsi="Arial" w:cs="Arial"/>
          <w:sz w:val="20"/>
          <w:szCs w:val="20"/>
        </w:rPr>
        <w:t>l f</w:t>
      </w:r>
      <w:r w:rsidR="009A2107">
        <w:rPr>
          <w:rFonts w:ascii="Arial" w:hAnsi="Arial" w:cs="Arial"/>
          <w:sz w:val="20"/>
          <w:szCs w:val="20"/>
        </w:rPr>
        <w:t>und charges add</w:t>
      </w:r>
      <w:r w:rsidR="00BB3790">
        <w:rPr>
          <w:rFonts w:ascii="Arial" w:hAnsi="Arial" w:cs="Arial"/>
          <w:sz w:val="20"/>
          <w:szCs w:val="20"/>
        </w:rPr>
        <w:t>ed</w:t>
      </w:r>
      <w:r w:rsidR="009A2107">
        <w:rPr>
          <w:rFonts w:ascii="Arial" w:hAnsi="Arial" w:cs="Arial"/>
          <w:sz w:val="20"/>
          <w:szCs w:val="20"/>
        </w:rPr>
        <w:t xml:space="preserve"> about </w:t>
      </w:r>
      <w:r w:rsidR="00FC61E3">
        <w:rPr>
          <w:rFonts w:ascii="Arial" w:hAnsi="Arial" w:cs="Arial"/>
          <w:sz w:val="20"/>
          <w:szCs w:val="20"/>
        </w:rPr>
        <w:t>$14,138</w:t>
      </w:r>
      <w:r w:rsidR="00F35CF4" w:rsidRPr="00A5560E">
        <w:rPr>
          <w:rFonts w:ascii="Arial" w:hAnsi="Arial" w:cs="Arial"/>
          <w:sz w:val="20"/>
          <w:szCs w:val="20"/>
        </w:rPr>
        <w:t xml:space="preserve"> </w:t>
      </w:r>
      <w:r w:rsidR="00F35CF4">
        <w:rPr>
          <w:rFonts w:ascii="Arial" w:hAnsi="Arial" w:cs="Arial"/>
          <w:sz w:val="20"/>
          <w:szCs w:val="20"/>
        </w:rPr>
        <w:t xml:space="preserve">to our costs, making </w:t>
      </w:r>
      <w:r w:rsidR="00FC61E3">
        <w:rPr>
          <w:rFonts w:ascii="Arial" w:hAnsi="Arial" w:cs="Arial"/>
          <w:sz w:val="20"/>
          <w:szCs w:val="20"/>
        </w:rPr>
        <w:t xml:space="preserve">the total </w:t>
      </w:r>
      <w:r w:rsidR="006B02B1">
        <w:rPr>
          <w:rFonts w:ascii="Arial" w:hAnsi="Arial" w:cs="Arial"/>
          <w:sz w:val="20"/>
          <w:szCs w:val="20"/>
        </w:rPr>
        <w:t>expense 0.09</w:t>
      </w:r>
      <w:r w:rsidR="00F35CF4">
        <w:rPr>
          <w:rFonts w:ascii="Arial" w:hAnsi="Arial" w:cs="Arial"/>
          <w:sz w:val="20"/>
          <w:szCs w:val="20"/>
        </w:rPr>
        <w:t>% of the money under management.</w:t>
      </w:r>
    </w:p>
    <w:p w:rsidR="004C4152" w:rsidRDefault="004C4152">
      <w:pPr>
        <w:jc w:val="both"/>
        <w:rPr>
          <w:rFonts w:ascii="Arial" w:hAnsi="Arial" w:cs="Arial"/>
          <w:sz w:val="20"/>
          <w:szCs w:val="20"/>
        </w:rPr>
      </w:pPr>
    </w:p>
    <w:p w:rsidR="00DC085B" w:rsidRPr="009A2107" w:rsidRDefault="004C4152" w:rsidP="00766D44">
      <w:pPr>
        <w:jc w:val="both"/>
        <w:rPr>
          <w:rFonts w:ascii="Arial" w:hAnsi="Arial" w:cs="Arial"/>
          <w:sz w:val="20"/>
          <w:szCs w:val="20"/>
        </w:rPr>
      </w:pPr>
      <w:r>
        <w:rPr>
          <w:rFonts w:ascii="Arial" w:hAnsi="Arial" w:cs="Arial"/>
          <w:sz w:val="20"/>
          <w:szCs w:val="20"/>
        </w:rPr>
        <w:t>As noted on the previous page, we have two accounts</w:t>
      </w:r>
      <w:r w:rsidR="00FA2772">
        <w:rPr>
          <w:rFonts w:ascii="Arial" w:hAnsi="Arial" w:cs="Arial"/>
          <w:sz w:val="20"/>
          <w:szCs w:val="20"/>
        </w:rPr>
        <w:t>, Balcom and Boutwell,</w:t>
      </w:r>
      <w:r>
        <w:rPr>
          <w:rFonts w:ascii="Arial" w:hAnsi="Arial" w:cs="Arial"/>
          <w:sz w:val="20"/>
          <w:szCs w:val="20"/>
        </w:rPr>
        <w:t xml:space="preserve"> not managed by Bank of America.</w:t>
      </w:r>
      <w:r w:rsidR="00FA2772">
        <w:rPr>
          <w:rFonts w:ascii="Arial" w:hAnsi="Arial" w:cs="Arial"/>
          <w:sz w:val="20"/>
          <w:szCs w:val="20"/>
        </w:rPr>
        <w:t xml:space="preserve"> T</w:t>
      </w:r>
      <w:r w:rsidR="00DC085B" w:rsidRPr="009A2107">
        <w:rPr>
          <w:rFonts w:ascii="Arial" w:hAnsi="Arial" w:cs="Arial"/>
          <w:sz w:val="20"/>
          <w:szCs w:val="20"/>
        </w:rPr>
        <w:t xml:space="preserve">he Sarah M. Balcom </w:t>
      </w:r>
      <w:r w:rsidR="00FA2772" w:rsidRPr="009A2107">
        <w:rPr>
          <w:rFonts w:ascii="Arial" w:hAnsi="Arial" w:cs="Arial"/>
          <w:sz w:val="20"/>
          <w:szCs w:val="20"/>
        </w:rPr>
        <w:t>Fund</w:t>
      </w:r>
      <w:r w:rsidR="00DC085B" w:rsidRPr="009A2107">
        <w:rPr>
          <w:rFonts w:ascii="Arial" w:hAnsi="Arial" w:cs="Arial"/>
          <w:sz w:val="20"/>
          <w:szCs w:val="20"/>
        </w:rPr>
        <w:t xml:space="preserve"> is an irrevocable trust managed by the </w:t>
      </w:r>
      <w:r w:rsidR="002E3AFF" w:rsidRPr="009A2107">
        <w:rPr>
          <w:rFonts w:ascii="Arial" w:hAnsi="Arial" w:cs="Arial"/>
          <w:sz w:val="20"/>
          <w:szCs w:val="20"/>
        </w:rPr>
        <w:t xml:space="preserve">TD </w:t>
      </w:r>
      <w:r w:rsidR="00AD7BE7" w:rsidRPr="009A2107">
        <w:rPr>
          <w:rFonts w:ascii="Arial" w:hAnsi="Arial" w:cs="Arial"/>
          <w:sz w:val="20"/>
          <w:szCs w:val="20"/>
        </w:rPr>
        <w:t>Bank</w:t>
      </w:r>
      <w:r w:rsidR="00DC085B" w:rsidRPr="009A2107">
        <w:rPr>
          <w:rFonts w:ascii="Arial" w:hAnsi="Arial" w:cs="Arial"/>
          <w:sz w:val="20"/>
          <w:szCs w:val="20"/>
        </w:rPr>
        <w:t xml:space="preserve"> Wealth Management Group for our benefit. </w:t>
      </w:r>
      <w:r w:rsidR="00AB0DAD">
        <w:rPr>
          <w:rFonts w:ascii="Arial" w:hAnsi="Arial" w:cs="Arial"/>
          <w:sz w:val="20"/>
          <w:szCs w:val="20"/>
        </w:rPr>
        <w:t>As of April 1, 2015</w:t>
      </w:r>
      <w:r w:rsidR="00CE0CE1" w:rsidRPr="009A2107">
        <w:rPr>
          <w:rFonts w:ascii="Arial" w:hAnsi="Arial" w:cs="Arial"/>
          <w:sz w:val="20"/>
          <w:szCs w:val="20"/>
        </w:rPr>
        <w:t>, the fund was worth $</w:t>
      </w:r>
      <w:r w:rsidR="00A60FD7">
        <w:rPr>
          <w:rFonts w:ascii="Arial" w:hAnsi="Arial" w:cs="Arial"/>
          <w:sz w:val="20"/>
          <w:szCs w:val="20"/>
        </w:rPr>
        <w:t xml:space="preserve">290,363 </w:t>
      </w:r>
      <w:r w:rsidR="00A60FD7" w:rsidRPr="009A2107">
        <w:rPr>
          <w:rFonts w:ascii="Arial" w:hAnsi="Arial" w:cs="Arial"/>
          <w:sz w:val="20"/>
          <w:szCs w:val="20"/>
        </w:rPr>
        <w:t>(</w:t>
      </w:r>
      <w:r w:rsidR="00812EA7" w:rsidRPr="009A2107">
        <w:rPr>
          <w:rFonts w:ascii="Arial" w:hAnsi="Arial" w:cs="Arial"/>
          <w:sz w:val="20"/>
          <w:szCs w:val="20"/>
        </w:rPr>
        <w:t>$</w:t>
      </w:r>
      <w:r w:rsidR="00AB0DAD">
        <w:rPr>
          <w:rFonts w:ascii="Arial" w:hAnsi="Arial" w:cs="Arial"/>
          <w:sz w:val="20"/>
          <w:szCs w:val="20"/>
        </w:rPr>
        <w:t>294,855</w:t>
      </w:r>
      <w:r w:rsidR="009A2107">
        <w:rPr>
          <w:rFonts w:ascii="Arial" w:hAnsi="Arial" w:cs="Arial"/>
          <w:sz w:val="20"/>
          <w:szCs w:val="20"/>
        </w:rPr>
        <w:t xml:space="preserve"> </w:t>
      </w:r>
      <w:r w:rsidR="00CE0CE1" w:rsidRPr="009A2107">
        <w:rPr>
          <w:rFonts w:ascii="Arial" w:hAnsi="Arial" w:cs="Arial"/>
          <w:sz w:val="20"/>
          <w:szCs w:val="20"/>
        </w:rPr>
        <w:t>a year earlier</w:t>
      </w:r>
      <w:r w:rsidR="009A2107">
        <w:rPr>
          <w:rFonts w:ascii="Arial" w:hAnsi="Arial" w:cs="Arial"/>
          <w:sz w:val="20"/>
          <w:szCs w:val="20"/>
        </w:rPr>
        <w:t>.</w:t>
      </w:r>
      <w:r w:rsidR="00CE0CE1" w:rsidRPr="009A2107">
        <w:rPr>
          <w:rFonts w:ascii="Arial" w:hAnsi="Arial" w:cs="Arial"/>
          <w:sz w:val="20"/>
          <w:szCs w:val="20"/>
        </w:rPr>
        <w:t>) W</w:t>
      </w:r>
      <w:r w:rsidR="00DC085B" w:rsidRPr="009A2107">
        <w:rPr>
          <w:rFonts w:ascii="Arial" w:hAnsi="Arial" w:cs="Arial"/>
          <w:sz w:val="20"/>
          <w:szCs w:val="20"/>
        </w:rPr>
        <w:t>e have no direct control over the investments in the fund</w:t>
      </w:r>
      <w:r w:rsidR="00553848" w:rsidRPr="009A2107">
        <w:rPr>
          <w:rFonts w:ascii="Arial" w:hAnsi="Arial" w:cs="Arial"/>
          <w:sz w:val="20"/>
          <w:szCs w:val="20"/>
        </w:rPr>
        <w:t xml:space="preserve">, which under Federal regulations must </w:t>
      </w:r>
      <w:r w:rsidR="00CE0CE1" w:rsidRPr="009A2107">
        <w:rPr>
          <w:rFonts w:ascii="Arial" w:hAnsi="Arial" w:cs="Arial"/>
          <w:sz w:val="20"/>
          <w:szCs w:val="20"/>
        </w:rPr>
        <w:t xml:space="preserve">annually distribute 5% of its principal.  This year the net principal </w:t>
      </w:r>
      <w:r w:rsidR="006F7F80" w:rsidRPr="009A2107">
        <w:rPr>
          <w:rFonts w:ascii="Arial" w:hAnsi="Arial" w:cs="Arial"/>
          <w:sz w:val="20"/>
          <w:szCs w:val="20"/>
        </w:rPr>
        <w:t>distribution we</w:t>
      </w:r>
      <w:r w:rsidR="00CE0CE1" w:rsidRPr="009A2107">
        <w:rPr>
          <w:rFonts w:ascii="Arial" w:hAnsi="Arial" w:cs="Arial"/>
          <w:sz w:val="20"/>
          <w:szCs w:val="20"/>
        </w:rPr>
        <w:t xml:space="preserve"> received was $</w:t>
      </w:r>
      <w:r w:rsidR="00F569FC" w:rsidRPr="009A2107">
        <w:rPr>
          <w:rFonts w:ascii="Arial" w:hAnsi="Arial" w:cs="Arial"/>
          <w:sz w:val="20"/>
          <w:szCs w:val="20"/>
        </w:rPr>
        <w:t>1</w:t>
      </w:r>
      <w:r w:rsidR="006D6886" w:rsidRPr="009A2107">
        <w:rPr>
          <w:rFonts w:ascii="Arial" w:hAnsi="Arial" w:cs="Arial"/>
          <w:sz w:val="20"/>
          <w:szCs w:val="20"/>
        </w:rPr>
        <w:t>3,351</w:t>
      </w:r>
      <w:r w:rsidR="00F569FC" w:rsidRPr="009A2107">
        <w:rPr>
          <w:rFonts w:ascii="Arial" w:hAnsi="Arial" w:cs="Arial"/>
          <w:sz w:val="20"/>
          <w:szCs w:val="20"/>
        </w:rPr>
        <w:t>.</w:t>
      </w:r>
      <w:r w:rsidR="006619C6" w:rsidRPr="009A2107">
        <w:rPr>
          <w:rFonts w:ascii="Arial" w:hAnsi="Arial" w:cs="Arial"/>
          <w:sz w:val="20"/>
          <w:szCs w:val="20"/>
        </w:rPr>
        <w:t xml:space="preserve">  Trustee compensation and a</w:t>
      </w:r>
      <w:r w:rsidR="00FD7BE5">
        <w:rPr>
          <w:rFonts w:ascii="Arial" w:hAnsi="Arial" w:cs="Arial"/>
          <w:sz w:val="20"/>
          <w:szCs w:val="20"/>
        </w:rPr>
        <w:t>dministrative expenses of $</w:t>
      </w:r>
      <w:r w:rsidR="000F0C6D">
        <w:rPr>
          <w:rFonts w:ascii="Arial" w:hAnsi="Arial" w:cs="Arial"/>
          <w:sz w:val="20"/>
          <w:szCs w:val="20"/>
        </w:rPr>
        <w:t>7,573</w:t>
      </w:r>
      <w:r w:rsidR="006619C6" w:rsidRPr="009A2107">
        <w:rPr>
          <w:rFonts w:ascii="Arial" w:hAnsi="Arial" w:cs="Arial"/>
          <w:sz w:val="20"/>
          <w:szCs w:val="20"/>
        </w:rPr>
        <w:t xml:space="preserve"> </w:t>
      </w:r>
      <w:r w:rsidR="00FC043B">
        <w:rPr>
          <w:rFonts w:ascii="Arial" w:hAnsi="Arial" w:cs="Arial"/>
          <w:sz w:val="20"/>
          <w:szCs w:val="20"/>
        </w:rPr>
        <w:t>(</w:t>
      </w:r>
      <w:r w:rsidR="000F0C6D">
        <w:rPr>
          <w:rFonts w:ascii="Arial" w:hAnsi="Arial" w:cs="Arial"/>
          <w:sz w:val="20"/>
          <w:szCs w:val="20"/>
        </w:rPr>
        <w:t>2.6</w:t>
      </w:r>
      <w:r w:rsidR="006831BD" w:rsidRPr="009A2107">
        <w:rPr>
          <w:rFonts w:ascii="Arial" w:hAnsi="Arial" w:cs="Arial"/>
          <w:sz w:val="20"/>
          <w:szCs w:val="20"/>
        </w:rPr>
        <w:t xml:space="preserve">%) </w:t>
      </w:r>
      <w:r w:rsidR="006619C6" w:rsidRPr="009A2107">
        <w:rPr>
          <w:rFonts w:ascii="Arial" w:hAnsi="Arial" w:cs="Arial"/>
          <w:sz w:val="20"/>
          <w:szCs w:val="20"/>
        </w:rPr>
        <w:t xml:space="preserve">were deducted from </w:t>
      </w:r>
      <w:r w:rsidR="004B57F4">
        <w:rPr>
          <w:rFonts w:ascii="Arial" w:hAnsi="Arial" w:cs="Arial"/>
          <w:sz w:val="20"/>
          <w:szCs w:val="20"/>
        </w:rPr>
        <w:t xml:space="preserve">principal and </w:t>
      </w:r>
      <w:r w:rsidR="006831BD" w:rsidRPr="009A2107">
        <w:rPr>
          <w:rFonts w:ascii="Arial" w:hAnsi="Arial" w:cs="Arial"/>
          <w:sz w:val="20"/>
          <w:szCs w:val="20"/>
        </w:rPr>
        <w:t>i</w:t>
      </w:r>
      <w:r w:rsidR="000F0C6D">
        <w:rPr>
          <w:rFonts w:ascii="Arial" w:hAnsi="Arial" w:cs="Arial"/>
          <w:sz w:val="20"/>
          <w:szCs w:val="20"/>
        </w:rPr>
        <w:t>ncome of $4,738</w:t>
      </w:r>
      <w:r w:rsidR="004B57F4">
        <w:rPr>
          <w:rFonts w:ascii="Arial" w:hAnsi="Arial" w:cs="Arial"/>
          <w:sz w:val="20"/>
          <w:szCs w:val="20"/>
        </w:rPr>
        <w:t xml:space="preserve"> </w:t>
      </w:r>
    </w:p>
    <w:p w:rsidR="00DC085B" w:rsidRPr="009A2107" w:rsidRDefault="00DC085B">
      <w:pPr>
        <w:jc w:val="both"/>
        <w:rPr>
          <w:rFonts w:ascii="Arial" w:hAnsi="Arial" w:cs="Arial"/>
          <w:sz w:val="20"/>
          <w:szCs w:val="20"/>
        </w:rPr>
      </w:pPr>
    </w:p>
    <w:p w:rsidR="00120667" w:rsidRPr="00331383" w:rsidRDefault="00DC085B" w:rsidP="00676AB1">
      <w:pPr>
        <w:jc w:val="both"/>
        <w:rPr>
          <w:rFonts w:ascii="Arial" w:hAnsi="Arial" w:cs="Arial"/>
          <w:sz w:val="20"/>
          <w:szCs w:val="20"/>
        </w:rPr>
      </w:pPr>
      <w:r w:rsidRPr="004C4152">
        <w:rPr>
          <w:rFonts w:ascii="Arial" w:hAnsi="Arial" w:cs="Arial"/>
          <w:sz w:val="20"/>
          <w:szCs w:val="20"/>
        </w:rPr>
        <w:t>The two Boutwell Funds are held by the Unitari</w:t>
      </w:r>
      <w:r w:rsidR="00B271BE" w:rsidRPr="004C4152">
        <w:rPr>
          <w:rFonts w:ascii="Arial" w:hAnsi="Arial" w:cs="Arial"/>
          <w:sz w:val="20"/>
          <w:szCs w:val="20"/>
        </w:rPr>
        <w:t>an-Universalist Association</w:t>
      </w:r>
      <w:r w:rsidR="00AB1E35" w:rsidRPr="004C4152">
        <w:rPr>
          <w:rFonts w:ascii="Arial" w:hAnsi="Arial" w:cs="Arial"/>
          <w:sz w:val="20"/>
          <w:szCs w:val="20"/>
        </w:rPr>
        <w:t xml:space="preserve"> (UUA)</w:t>
      </w:r>
      <w:r w:rsidRPr="004C4152">
        <w:rPr>
          <w:rFonts w:ascii="Arial" w:hAnsi="Arial" w:cs="Arial"/>
          <w:sz w:val="20"/>
          <w:szCs w:val="20"/>
        </w:rPr>
        <w:t xml:space="preserve">. The two </w:t>
      </w:r>
      <w:r w:rsidR="00B271BE" w:rsidRPr="004C4152">
        <w:rPr>
          <w:rFonts w:ascii="Arial" w:hAnsi="Arial" w:cs="Arial"/>
          <w:sz w:val="20"/>
          <w:szCs w:val="20"/>
        </w:rPr>
        <w:t>funds were jointly worth</w:t>
      </w:r>
      <w:r w:rsidR="007F4C37" w:rsidRPr="004C4152">
        <w:rPr>
          <w:rFonts w:ascii="Arial" w:hAnsi="Arial" w:cs="Arial"/>
          <w:sz w:val="20"/>
          <w:szCs w:val="20"/>
        </w:rPr>
        <w:t xml:space="preserve"> $</w:t>
      </w:r>
      <w:r w:rsidR="00322C34">
        <w:rPr>
          <w:rFonts w:ascii="Arial" w:hAnsi="Arial" w:cs="Arial"/>
          <w:sz w:val="20"/>
          <w:szCs w:val="20"/>
        </w:rPr>
        <w:t>31,124</w:t>
      </w:r>
      <w:r w:rsidR="00D02501">
        <w:rPr>
          <w:rFonts w:ascii="Arial" w:hAnsi="Arial" w:cs="Arial"/>
          <w:sz w:val="20"/>
          <w:szCs w:val="20"/>
        </w:rPr>
        <w:t xml:space="preserve"> as of April 1, 2015</w:t>
      </w:r>
      <w:r w:rsidRPr="004C4152">
        <w:rPr>
          <w:rFonts w:ascii="Arial" w:hAnsi="Arial" w:cs="Arial"/>
          <w:sz w:val="20"/>
          <w:szCs w:val="20"/>
        </w:rPr>
        <w:t>,</w:t>
      </w:r>
      <w:r w:rsidR="00D02501">
        <w:rPr>
          <w:rFonts w:ascii="Arial" w:hAnsi="Arial" w:cs="Arial"/>
          <w:sz w:val="20"/>
          <w:szCs w:val="20"/>
        </w:rPr>
        <w:t xml:space="preserve"> ($35,022</w:t>
      </w:r>
      <w:r w:rsidR="0048357F" w:rsidRPr="004C4152">
        <w:rPr>
          <w:rFonts w:ascii="Arial" w:hAnsi="Arial" w:cs="Arial"/>
          <w:sz w:val="20"/>
          <w:szCs w:val="20"/>
        </w:rPr>
        <w:t xml:space="preserve"> </w:t>
      </w:r>
      <w:r w:rsidRPr="004C4152">
        <w:rPr>
          <w:rFonts w:ascii="Arial" w:hAnsi="Arial" w:cs="Arial"/>
          <w:sz w:val="20"/>
          <w:szCs w:val="20"/>
        </w:rPr>
        <w:t>a year earlier)</w:t>
      </w:r>
      <w:r w:rsidR="00FD11E0" w:rsidRPr="004C4152">
        <w:rPr>
          <w:rFonts w:ascii="Arial" w:hAnsi="Arial" w:cs="Arial"/>
          <w:sz w:val="20"/>
          <w:szCs w:val="20"/>
        </w:rPr>
        <w:t xml:space="preserve">, and gave </w:t>
      </w:r>
      <w:r w:rsidR="00184D6B" w:rsidRPr="004C4152">
        <w:rPr>
          <w:rFonts w:ascii="Arial" w:hAnsi="Arial" w:cs="Arial"/>
          <w:sz w:val="20"/>
          <w:szCs w:val="20"/>
        </w:rPr>
        <w:t>us $</w:t>
      </w:r>
      <w:r w:rsidR="00F00A16">
        <w:rPr>
          <w:rFonts w:ascii="Arial" w:hAnsi="Arial" w:cs="Arial"/>
          <w:sz w:val="20"/>
          <w:szCs w:val="20"/>
        </w:rPr>
        <w:t>1,488</w:t>
      </w:r>
      <w:r w:rsidR="00D61F76" w:rsidRPr="004C4152">
        <w:rPr>
          <w:rFonts w:ascii="Arial" w:hAnsi="Arial" w:cs="Arial"/>
          <w:sz w:val="20"/>
          <w:szCs w:val="20"/>
        </w:rPr>
        <w:t xml:space="preserve"> of income</w:t>
      </w:r>
      <w:r w:rsidRPr="004C4152">
        <w:rPr>
          <w:rFonts w:ascii="Arial" w:hAnsi="Arial" w:cs="Arial"/>
          <w:sz w:val="20"/>
          <w:szCs w:val="20"/>
        </w:rPr>
        <w:t>.  These funds are managed according to policie</w:t>
      </w:r>
      <w:r w:rsidR="007F4C37" w:rsidRPr="004C4152">
        <w:rPr>
          <w:rFonts w:ascii="Arial" w:hAnsi="Arial" w:cs="Arial"/>
          <w:sz w:val="20"/>
          <w:szCs w:val="20"/>
        </w:rPr>
        <w:t>s very similar to those B of A</w:t>
      </w:r>
      <w:r w:rsidRPr="004C4152">
        <w:rPr>
          <w:rFonts w:ascii="Arial" w:hAnsi="Arial" w:cs="Arial"/>
          <w:sz w:val="20"/>
          <w:szCs w:val="20"/>
        </w:rPr>
        <w:t xml:space="preserve"> and we are following; i.</w:t>
      </w:r>
      <w:r w:rsidR="00D02501">
        <w:rPr>
          <w:rFonts w:ascii="Arial" w:hAnsi="Arial" w:cs="Arial"/>
          <w:sz w:val="20"/>
          <w:szCs w:val="20"/>
        </w:rPr>
        <w:t>e., Total Return, a 4.5</w:t>
      </w:r>
      <w:r w:rsidR="009C4569" w:rsidRPr="004C4152">
        <w:rPr>
          <w:rFonts w:ascii="Arial" w:hAnsi="Arial" w:cs="Arial"/>
          <w:sz w:val="20"/>
          <w:szCs w:val="20"/>
        </w:rPr>
        <w:t>%</w:t>
      </w:r>
      <w:r w:rsidRPr="004C4152">
        <w:rPr>
          <w:rFonts w:ascii="Arial" w:hAnsi="Arial" w:cs="Arial"/>
          <w:sz w:val="20"/>
          <w:szCs w:val="20"/>
        </w:rPr>
        <w:t xml:space="preserve"> </w:t>
      </w:r>
      <w:r w:rsidR="00D02501">
        <w:rPr>
          <w:rFonts w:ascii="Arial" w:hAnsi="Arial" w:cs="Arial"/>
          <w:sz w:val="20"/>
          <w:szCs w:val="20"/>
        </w:rPr>
        <w:t xml:space="preserve">(reduced from 5.0% in previous years) </w:t>
      </w:r>
      <w:r w:rsidRPr="004C4152">
        <w:rPr>
          <w:rFonts w:ascii="Arial" w:hAnsi="Arial" w:cs="Arial"/>
          <w:sz w:val="20"/>
          <w:szCs w:val="20"/>
        </w:rPr>
        <w:t xml:space="preserve">draw based on thirteen rolling quarters (we use twenty), and an effort to be socially responsible.  </w:t>
      </w:r>
      <w:r w:rsidR="00AB1E35" w:rsidRPr="004C4152">
        <w:rPr>
          <w:rFonts w:ascii="Arial" w:hAnsi="Arial" w:cs="Arial"/>
          <w:sz w:val="20"/>
          <w:szCs w:val="20"/>
        </w:rPr>
        <w:t xml:space="preserve">The UUA charged fees, administrative costs and </w:t>
      </w:r>
      <w:r w:rsidR="00676AB1">
        <w:rPr>
          <w:rFonts w:ascii="Arial" w:hAnsi="Arial" w:cs="Arial"/>
          <w:sz w:val="20"/>
          <w:szCs w:val="20"/>
        </w:rPr>
        <w:t xml:space="preserve">in consultation with of A, the Committee has set our annual Total </w:t>
      </w:r>
      <w:r w:rsidR="00120667">
        <w:rPr>
          <w:rFonts w:ascii="Arial" w:hAnsi="Arial" w:cs="Arial"/>
          <w:sz w:val="20"/>
          <w:szCs w:val="20"/>
        </w:rPr>
        <w:t>Return expectation for the B of A-managed funds at 8%.  This Total Return will be calculated as a rolling average over the previous 20 quarterly accounting periods. The longer-term performance is shown for each account on a Total Return basis in the table below</w:t>
      </w:r>
      <w:r w:rsidR="00331383">
        <w:rPr>
          <w:rFonts w:ascii="Arial" w:hAnsi="Arial" w:cs="Arial"/>
          <w:sz w:val="20"/>
          <w:szCs w:val="20"/>
        </w:rPr>
        <w:t>.</w:t>
      </w:r>
      <w:r w:rsidR="00120667">
        <w:t xml:space="preserve"> </w:t>
      </w:r>
    </w:p>
    <w:p w:rsidR="00120667" w:rsidRDefault="00120667" w:rsidP="00120667">
      <w:pPr>
        <w:jc w:val="both"/>
        <w:rPr>
          <w:rFonts w:ascii="Arial" w:hAnsi="Arial" w:cs="Arial"/>
          <w:sz w:val="20"/>
          <w:szCs w:val="20"/>
        </w:rPr>
      </w:pPr>
    </w:p>
    <w:p w:rsidR="002E77CC" w:rsidRDefault="002E77CC" w:rsidP="00120667">
      <w:pPr>
        <w:jc w:val="both"/>
        <w:rPr>
          <w:rFonts w:ascii="Arial" w:hAnsi="Arial" w:cs="Arial"/>
          <w:sz w:val="20"/>
          <w:szCs w:val="20"/>
        </w:rPr>
      </w:pPr>
    </w:p>
    <w:p w:rsidR="00676AB1" w:rsidRDefault="00676AB1" w:rsidP="00120667">
      <w:pPr>
        <w:jc w:val="both"/>
        <w:rPr>
          <w:rFonts w:ascii="Arial" w:hAnsi="Arial" w:cs="Arial"/>
          <w:sz w:val="20"/>
          <w:szCs w:val="20"/>
        </w:rPr>
      </w:pPr>
    </w:p>
    <w:p w:rsidR="005F6868" w:rsidRDefault="005F6868" w:rsidP="00120667">
      <w:pPr>
        <w:jc w:val="both"/>
        <w:rPr>
          <w:rFonts w:ascii="Arial" w:hAnsi="Arial" w:cs="Arial"/>
          <w:sz w:val="20"/>
          <w:szCs w:val="20"/>
        </w:rPr>
      </w:pPr>
    </w:p>
    <w:p w:rsidR="00120667" w:rsidRPr="001B4396" w:rsidRDefault="00120667" w:rsidP="00120667">
      <w:pPr>
        <w:tabs>
          <w:tab w:val="center" w:pos="4680"/>
        </w:tabs>
        <w:jc w:val="both"/>
        <w:rPr>
          <w:rFonts w:ascii="Arial" w:hAnsi="Arial" w:cs="Arial"/>
          <w:color w:val="C00000"/>
          <w:sz w:val="20"/>
          <w:szCs w:val="20"/>
        </w:rPr>
      </w:pPr>
      <w:r w:rsidRPr="001B4396">
        <w:rPr>
          <w:rFonts w:ascii="Arial" w:hAnsi="Arial" w:cs="Arial"/>
          <w:color w:val="C00000"/>
          <w:sz w:val="20"/>
          <w:szCs w:val="20"/>
        </w:rPr>
        <w:tab/>
      </w:r>
      <w:r w:rsidRPr="003F4E03">
        <w:rPr>
          <w:rFonts w:ascii="Arial" w:hAnsi="Arial" w:cs="Arial"/>
          <w:sz w:val="20"/>
          <w:szCs w:val="20"/>
        </w:rPr>
        <w:t>TOTAL RETURN HISTORY</w:t>
      </w:r>
      <w:r w:rsidR="00D42D47" w:rsidRPr="003F4E03">
        <w:rPr>
          <w:rFonts w:ascii="Arial" w:hAnsi="Arial" w:cs="Arial"/>
          <w:sz w:val="20"/>
          <w:szCs w:val="20"/>
        </w:rPr>
        <w:t xml:space="preserve"> (per</w:t>
      </w:r>
      <w:r w:rsidR="00DE1DA9" w:rsidRPr="003F4E03">
        <w:rPr>
          <w:rFonts w:ascii="Arial" w:hAnsi="Arial" w:cs="Arial"/>
          <w:sz w:val="20"/>
          <w:szCs w:val="20"/>
        </w:rPr>
        <w:t>centages</w:t>
      </w:r>
      <w:r w:rsidR="00DE1DA9" w:rsidRPr="001B4396">
        <w:rPr>
          <w:rFonts w:ascii="Arial" w:hAnsi="Arial" w:cs="Arial"/>
          <w:color w:val="C00000"/>
          <w:sz w:val="20"/>
          <w:szCs w:val="20"/>
        </w:rPr>
        <w:t>)</w:t>
      </w:r>
    </w:p>
    <w:tbl>
      <w:tblPr>
        <w:tblStyle w:val="TableGrid"/>
        <w:tblW w:w="9390" w:type="dxa"/>
        <w:tblLayout w:type="fixed"/>
        <w:tblLook w:val="0000" w:firstRow="0" w:lastRow="0" w:firstColumn="0" w:lastColumn="0" w:noHBand="0" w:noVBand="0"/>
      </w:tblPr>
      <w:tblGrid>
        <w:gridCol w:w="2303"/>
        <w:gridCol w:w="897"/>
        <w:gridCol w:w="897"/>
        <w:gridCol w:w="897"/>
        <w:gridCol w:w="897"/>
        <w:gridCol w:w="949"/>
        <w:gridCol w:w="360"/>
        <w:gridCol w:w="2190"/>
      </w:tblGrid>
      <w:tr w:rsidR="001B4396" w:rsidRPr="001B4396" w:rsidTr="005C0C6A">
        <w:trPr>
          <w:trHeight w:val="564"/>
        </w:trPr>
        <w:tc>
          <w:tcPr>
            <w:tcW w:w="2303" w:type="dxa"/>
          </w:tcPr>
          <w:p w:rsidR="00120667" w:rsidRPr="003F4E03" w:rsidRDefault="00120667" w:rsidP="00387917">
            <w:pPr>
              <w:spacing w:line="-120" w:lineRule="auto"/>
              <w:rPr>
                <w:rFonts w:ascii="Arial" w:hAnsi="Arial" w:cs="Arial"/>
                <w:sz w:val="20"/>
                <w:szCs w:val="20"/>
              </w:rPr>
            </w:pPr>
          </w:p>
          <w:p w:rsidR="00120667" w:rsidRPr="003F4E03" w:rsidRDefault="00120667" w:rsidP="00387917">
            <w:pPr>
              <w:spacing w:after="58"/>
              <w:jc w:val="center"/>
              <w:rPr>
                <w:rFonts w:ascii="Arial" w:hAnsi="Arial" w:cs="Arial"/>
                <w:sz w:val="20"/>
                <w:szCs w:val="20"/>
              </w:rPr>
            </w:pPr>
            <w:r w:rsidRPr="003F4E03">
              <w:rPr>
                <w:rFonts w:ascii="Arial" w:hAnsi="Arial" w:cs="Arial"/>
                <w:sz w:val="20"/>
                <w:szCs w:val="20"/>
              </w:rPr>
              <w:t>FUND</w:t>
            </w:r>
          </w:p>
        </w:tc>
        <w:tc>
          <w:tcPr>
            <w:tcW w:w="897" w:type="dxa"/>
          </w:tcPr>
          <w:p w:rsidR="00120667" w:rsidRPr="003F4E03" w:rsidRDefault="00120667" w:rsidP="00387917">
            <w:pPr>
              <w:spacing w:line="-120" w:lineRule="auto"/>
              <w:rPr>
                <w:rFonts w:ascii="Arial" w:hAnsi="Arial" w:cs="Arial"/>
                <w:sz w:val="20"/>
                <w:szCs w:val="20"/>
              </w:rPr>
            </w:pPr>
          </w:p>
          <w:p w:rsidR="00120667" w:rsidRPr="003F4E03" w:rsidRDefault="005C0C6A" w:rsidP="00387917">
            <w:pPr>
              <w:spacing w:after="58"/>
              <w:jc w:val="center"/>
              <w:rPr>
                <w:rFonts w:ascii="Arial" w:hAnsi="Arial" w:cs="Arial"/>
                <w:sz w:val="20"/>
                <w:szCs w:val="20"/>
              </w:rPr>
            </w:pPr>
            <w:r>
              <w:rPr>
                <w:rFonts w:ascii="Arial" w:hAnsi="Arial" w:cs="Arial"/>
                <w:sz w:val="20"/>
                <w:szCs w:val="20"/>
              </w:rPr>
              <w:t>20</w:t>
            </w:r>
            <w:r w:rsidR="00713843" w:rsidRPr="003F4E03">
              <w:rPr>
                <w:rFonts w:ascii="Arial" w:hAnsi="Arial" w:cs="Arial"/>
                <w:sz w:val="20"/>
                <w:szCs w:val="20"/>
              </w:rPr>
              <w:t>1</w:t>
            </w:r>
            <w:r w:rsidR="00F00A16">
              <w:rPr>
                <w:rFonts w:ascii="Arial" w:hAnsi="Arial" w:cs="Arial"/>
                <w:sz w:val="20"/>
                <w:szCs w:val="20"/>
              </w:rPr>
              <w:t>5</w:t>
            </w:r>
          </w:p>
        </w:tc>
        <w:tc>
          <w:tcPr>
            <w:tcW w:w="897" w:type="dxa"/>
          </w:tcPr>
          <w:p w:rsidR="00120667" w:rsidRPr="003F4E03" w:rsidRDefault="00120667" w:rsidP="00387917">
            <w:pPr>
              <w:spacing w:line="-120" w:lineRule="auto"/>
              <w:rPr>
                <w:rFonts w:ascii="Arial" w:hAnsi="Arial" w:cs="Arial"/>
                <w:sz w:val="20"/>
                <w:szCs w:val="20"/>
              </w:rPr>
            </w:pPr>
          </w:p>
          <w:p w:rsidR="00120667" w:rsidRPr="003F4E03" w:rsidRDefault="00120667" w:rsidP="00387917">
            <w:pPr>
              <w:spacing w:after="58"/>
              <w:jc w:val="center"/>
              <w:rPr>
                <w:rFonts w:ascii="Arial" w:hAnsi="Arial" w:cs="Arial"/>
                <w:sz w:val="20"/>
                <w:szCs w:val="20"/>
              </w:rPr>
            </w:pPr>
            <w:r w:rsidRPr="003F4E03">
              <w:rPr>
                <w:rFonts w:ascii="Arial" w:hAnsi="Arial" w:cs="Arial"/>
                <w:sz w:val="20"/>
                <w:szCs w:val="20"/>
              </w:rPr>
              <w:t>FY</w:t>
            </w:r>
            <w:r w:rsidR="00422CBA" w:rsidRPr="003F4E03">
              <w:rPr>
                <w:rFonts w:ascii="Arial" w:hAnsi="Arial" w:cs="Arial"/>
                <w:sz w:val="20"/>
                <w:szCs w:val="20"/>
              </w:rPr>
              <w:t>1</w:t>
            </w:r>
            <w:r w:rsidR="00F00A16">
              <w:rPr>
                <w:rFonts w:ascii="Arial" w:hAnsi="Arial" w:cs="Arial"/>
                <w:sz w:val="20"/>
                <w:szCs w:val="20"/>
              </w:rPr>
              <w:t>4</w:t>
            </w:r>
          </w:p>
        </w:tc>
        <w:tc>
          <w:tcPr>
            <w:tcW w:w="897" w:type="dxa"/>
          </w:tcPr>
          <w:p w:rsidR="00120667" w:rsidRPr="003F4E03" w:rsidRDefault="00120667" w:rsidP="00387917">
            <w:pPr>
              <w:spacing w:line="-120" w:lineRule="auto"/>
              <w:rPr>
                <w:rFonts w:ascii="Arial" w:hAnsi="Arial" w:cs="Arial"/>
                <w:sz w:val="20"/>
                <w:szCs w:val="20"/>
              </w:rPr>
            </w:pPr>
          </w:p>
          <w:p w:rsidR="00120667" w:rsidRPr="003F4E03" w:rsidRDefault="00120667" w:rsidP="00387917">
            <w:pPr>
              <w:spacing w:after="58"/>
              <w:jc w:val="center"/>
              <w:rPr>
                <w:rFonts w:ascii="Arial" w:hAnsi="Arial" w:cs="Arial"/>
                <w:sz w:val="20"/>
                <w:szCs w:val="20"/>
              </w:rPr>
            </w:pPr>
            <w:r w:rsidRPr="003F4E03">
              <w:rPr>
                <w:rFonts w:ascii="Arial" w:hAnsi="Arial" w:cs="Arial"/>
                <w:sz w:val="20"/>
                <w:szCs w:val="20"/>
              </w:rPr>
              <w:t>FY</w:t>
            </w:r>
            <w:r w:rsidR="00187DB3" w:rsidRPr="003F4E03">
              <w:rPr>
                <w:rFonts w:ascii="Arial" w:hAnsi="Arial" w:cs="Arial"/>
                <w:sz w:val="20"/>
                <w:szCs w:val="20"/>
              </w:rPr>
              <w:t>1</w:t>
            </w:r>
            <w:r w:rsidR="00F00A16">
              <w:rPr>
                <w:rFonts w:ascii="Arial" w:hAnsi="Arial" w:cs="Arial"/>
                <w:sz w:val="20"/>
                <w:szCs w:val="20"/>
              </w:rPr>
              <w:t>3</w:t>
            </w:r>
          </w:p>
        </w:tc>
        <w:tc>
          <w:tcPr>
            <w:tcW w:w="897" w:type="dxa"/>
          </w:tcPr>
          <w:p w:rsidR="00120667" w:rsidRPr="003F4E03" w:rsidRDefault="00120667" w:rsidP="00387917">
            <w:pPr>
              <w:spacing w:line="-120" w:lineRule="auto"/>
              <w:rPr>
                <w:rFonts w:ascii="Arial" w:hAnsi="Arial" w:cs="Arial"/>
                <w:sz w:val="20"/>
                <w:szCs w:val="20"/>
              </w:rPr>
            </w:pPr>
          </w:p>
          <w:p w:rsidR="00120667" w:rsidRPr="003F4E03" w:rsidRDefault="00120667" w:rsidP="00422CBA">
            <w:pPr>
              <w:spacing w:after="58"/>
              <w:jc w:val="center"/>
              <w:rPr>
                <w:rFonts w:ascii="Arial" w:hAnsi="Arial" w:cs="Arial"/>
                <w:sz w:val="20"/>
                <w:szCs w:val="20"/>
              </w:rPr>
            </w:pPr>
            <w:r w:rsidRPr="003F4E03">
              <w:rPr>
                <w:rFonts w:ascii="Arial" w:hAnsi="Arial" w:cs="Arial"/>
                <w:sz w:val="20"/>
                <w:szCs w:val="20"/>
              </w:rPr>
              <w:t>FY</w:t>
            </w:r>
            <w:r w:rsidR="008044A3" w:rsidRPr="003F4E03">
              <w:rPr>
                <w:rFonts w:ascii="Arial" w:hAnsi="Arial" w:cs="Arial"/>
                <w:sz w:val="20"/>
                <w:szCs w:val="20"/>
              </w:rPr>
              <w:t>1</w:t>
            </w:r>
            <w:r w:rsidR="00F00A16">
              <w:rPr>
                <w:rFonts w:ascii="Arial" w:hAnsi="Arial" w:cs="Arial"/>
                <w:sz w:val="20"/>
                <w:szCs w:val="20"/>
              </w:rPr>
              <w:t>2</w:t>
            </w:r>
          </w:p>
        </w:tc>
        <w:tc>
          <w:tcPr>
            <w:tcW w:w="949" w:type="dxa"/>
          </w:tcPr>
          <w:p w:rsidR="00120667" w:rsidRPr="003F4E03" w:rsidRDefault="00120667" w:rsidP="00387917">
            <w:pPr>
              <w:spacing w:line="-120" w:lineRule="auto"/>
              <w:rPr>
                <w:rFonts w:ascii="Arial" w:hAnsi="Arial" w:cs="Arial"/>
                <w:sz w:val="20"/>
                <w:szCs w:val="20"/>
              </w:rPr>
            </w:pPr>
          </w:p>
          <w:p w:rsidR="00120667" w:rsidRPr="003F4E03" w:rsidRDefault="00120667" w:rsidP="00387917">
            <w:pPr>
              <w:spacing w:after="58"/>
              <w:jc w:val="center"/>
              <w:rPr>
                <w:rFonts w:ascii="Arial" w:hAnsi="Arial" w:cs="Arial"/>
                <w:sz w:val="20"/>
                <w:szCs w:val="20"/>
              </w:rPr>
            </w:pPr>
            <w:r w:rsidRPr="003F4E03">
              <w:rPr>
                <w:rFonts w:ascii="Arial" w:hAnsi="Arial" w:cs="Arial"/>
                <w:sz w:val="20"/>
                <w:szCs w:val="20"/>
              </w:rPr>
              <w:t>FY</w:t>
            </w:r>
            <w:r w:rsidR="005F6868" w:rsidRPr="003F4E03">
              <w:rPr>
                <w:rFonts w:ascii="Arial" w:hAnsi="Arial" w:cs="Arial"/>
                <w:sz w:val="20"/>
                <w:szCs w:val="20"/>
              </w:rPr>
              <w:t>1</w:t>
            </w:r>
            <w:r w:rsidR="00F00A16">
              <w:rPr>
                <w:rFonts w:ascii="Arial" w:hAnsi="Arial" w:cs="Arial"/>
                <w:sz w:val="20"/>
                <w:szCs w:val="20"/>
              </w:rPr>
              <w:t>1</w:t>
            </w:r>
          </w:p>
        </w:tc>
        <w:tc>
          <w:tcPr>
            <w:tcW w:w="360" w:type="dxa"/>
          </w:tcPr>
          <w:p w:rsidR="00120667" w:rsidRPr="003F4E03" w:rsidRDefault="00120667" w:rsidP="00387917">
            <w:pPr>
              <w:spacing w:line="-120" w:lineRule="auto"/>
              <w:rPr>
                <w:rFonts w:ascii="Arial" w:hAnsi="Arial" w:cs="Arial"/>
                <w:sz w:val="20"/>
                <w:szCs w:val="20"/>
              </w:rPr>
            </w:pPr>
          </w:p>
          <w:p w:rsidR="00120667" w:rsidRPr="003F4E03" w:rsidRDefault="00120667" w:rsidP="00B12CA2">
            <w:pPr>
              <w:spacing w:after="58"/>
              <w:rPr>
                <w:rFonts w:ascii="Arial" w:hAnsi="Arial" w:cs="Arial"/>
                <w:sz w:val="20"/>
                <w:szCs w:val="20"/>
              </w:rPr>
            </w:pPr>
          </w:p>
        </w:tc>
        <w:tc>
          <w:tcPr>
            <w:tcW w:w="2190" w:type="dxa"/>
          </w:tcPr>
          <w:p w:rsidR="00120667" w:rsidRPr="003F4E03" w:rsidRDefault="00120667" w:rsidP="00387917">
            <w:pPr>
              <w:spacing w:line="-120" w:lineRule="auto"/>
              <w:rPr>
                <w:rFonts w:ascii="Arial" w:hAnsi="Arial" w:cs="Arial"/>
                <w:sz w:val="20"/>
                <w:szCs w:val="20"/>
              </w:rPr>
            </w:pPr>
          </w:p>
          <w:p w:rsidR="00120667" w:rsidRPr="003F4E03" w:rsidRDefault="00120667" w:rsidP="00387917">
            <w:pPr>
              <w:rPr>
                <w:rFonts w:ascii="Arial" w:hAnsi="Arial" w:cs="Arial"/>
                <w:sz w:val="20"/>
                <w:szCs w:val="20"/>
              </w:rPr>
            </w:pPr>
            <w:r w:rsidRPr="003F4E03">
              <w:rPr>
                <w:rFonts w:ascii="Arial" w:hAnsi="Arial" w:cs="Arial"/>
                <w:sz w:val="20"/>
                <w:szCs w:val="20"/>
              </w:rPr>
              <w:t xml:space="preserve">   AVERAGES</w:t>
            </w:r>
          </w:p>
          <w:p w:rsidR="00120667" w:rsidRPr="003F4E03" w:rsidRDefault="00B43DDE" w:rsidP="00387917">
            <w:pPr>
              <w:spacing w:after="58"/>
              <w:rPr>
                <w:rFonts w:ascii="Arial" w:hAnsi="Arial" w:cs="Arial"/>
                <w:sz w:val="20"/>
                <w:szCs w:val="20"/>
              </w:rPr>
            </w:pPr>
            <w:r w:rsidRPr="003F4E03">
              <w:rPr>
                <w:rFonts w:ascii="Arial" w:hAnsi="Arial" w:cs="Arial"/>
                <w:sz w:val="20"/>
                <w:szCs w:val="20"/>
              </w:rPr>
              <w:t>5</w:t>
            </w:r>
            <w:r w:rsidR="00120667" w:rsidRPr="003F4E03">
              <w:rPr>
                <w:rFonts w:ascii="Arial" w:hAnsi="Arial" w:cs="Arial"/>
                <w:sz w:val="20"/>
                <w:szCs w:val="20"/>
              </w:rPr>
              <w:t xml:space="preserve"> </w:t>
            </w:r>
            <w:r w:rsidR="000D49FF" w:rsidRPr="003F4E03">
              <w:rPr>
                <w:rFonts w:ascii="Arial" w:hAnsi="Arial" w:cs="Arial"/>
                <w:sz w:val="20"/>
                <w:szCs w:val="20"/>
              </w:rPr>
              <w:t>yrs.</w:t>
            </w:r>
            <w:r w:rsidR="00120667" w:rsidRPr="003F4E03">
              <w:rPr>
                <w:rFonts w:ascii="Arial" w:hAnsi="Arial" w:cs="Arial"/>
                <w:sz w:val="20"/>
                <w:szCs w:val="20"/>
              </w:rPr>
              <w:t xml:space="preserve">      10 </w:t>
            </w:r>
            <w:r w:rsidR="000D49FF" w:rsidRPr="003F4E03">
              <w:rPr>
                <w:rFonts w:ascii="Arial" w:hAnsi="Arial" w:cs="Arial"/>
                <w:sz w:val="20"/>
                <w:szCs w:val="20"/>
              </w:rPr>
              <w:t>yrs.</w:t>
            </w:r>
          </w:p>
        </w:tc>
      </w:tr>
      <w:tr w:rsidR="00D75969" w:rsidRPr="001B4396" w:rsidTr="00AE14F1">
        <w:trPr>
          <w:trHeight w:val="385"/>
        </w:trPr>
        <w:tc>
          <w:tcPr>
            <w:tcW w:w="2303" w:type="dxa"/>
            <w:tcBorders>
              <w:bottom w:val="single" w:sz="4" w:space="0" w:color="auto"/>
            </w:tcBorders>
          </w:tcPr>
          <w:p w:rsidR="00120667" w:rsidRPr="001B4396" w:rsidRDefault="00120667" w:rsidP="00387917">
            <w:pPr>
              <w:spacing w:line="-120" w:lineRule="auto"/>
              <w:rPr>
                <w:rFonts w:ascii="Arial" w:hAnsi="Arial" w:cs="Arial"/>
                <w:color w:val="C00000"/>
                <w:sz w:val="20"/>
                <w:szCs w:val="20"/>
              </w:rPr>
            </w:pPr>
          </w:p>
          <w:p w:rsidR="00120667" w:rsidRDefault="00120667" w:rsidP="00387917">
            <w:pPr>
              <w:spacing w:after="58"/>
              <w:rPr>
                <w:rFonts w:ascii="Arial" w:hAnsi="Arial" w:cs="Arial"/>
                <w:sz w:val="20"/>
                <w:szCs w:val="20"/>
              </w:rPr>
            </w:pPr>
            <w:r w:rsidRPr="003F4E03">
              <w:rPr>
                <w:rFonts w:ascii="Arial" w:hAnsi="Arial" w:cs="Arial"/>
                <w:sz w:val="20"/>
                <w:szCs w:val="20"/>
              </w:rPr>
              <w:t>CHURCH/CEMETERY</w:t>
            </w:r>
          </w:p>
          <w:p w:rsidR="005C0C6A" w:rsidRPr="001B4396" w:rsidRDefault="005C0C6A" w:rsidP="00387917">
            <w:pPr>
              <w:spacing w:after="58"/>
              <w:rPr>
                <w:rFonts w:ascii="Arial" w:hAnsi="Arial" w:cs="Arial"/>
                <w:color w:val="C00000"/>
                <w:sz w:val="20"/>
                <w:szCs w:val="20"/>
              </w:rPr>
            </w:pPr>
            <w:r>
              <w:rPr>
                <w:rFonts w:ascii="Arial" w:hAnsi="Arial" w:cs="Arial"/>
                <w:sz w:val="20"/>
                <w:szCs w:val="20"/>
              </w:rPr>
              <w:t>(11 months</w:t>
            </w:r>
            <w:r w:rsidR="00AE14F1">
              <w:rPr>
                <w:rFonts w:ascii="Arial" w:hAnsi="Arial" w:cs="Arial"/>
                <w:sz w:val="20"/>
                <w:szCs w:val="20"/>
              </w:rPr>
              <w:t>, May to April</w:t>
            </w:r>
            <w:r>
              <w:rPr>
                <w:rFonts w:ascii="Arial" w:hAnsi="Arial" w:cs="Arial"/>
                <w:sz w:val="20"/>
                <w:szCs w:val="20"/>
              </w:rPr>
              <w:t>)</w:t>
            </w:r>
          </w:p>
        </w:tc>
        <w:tc>
          <w:tcPr>
            <w:tcW w:w="897" w:type="dxa"/>
            <w:tcBorders>
              <w:bottom w:val="single" w:sz="4" w:space="0" w:color="auto"/>
            </w:tcBorders>
          </w:tcPr>
          <w:p w:rsidR="00120667" w:rsidRPr="0053393A" w:rsidRDefault="00120667" w:rsidP="00387917">
            <w:pPr>
              <w:spacing w:line="-120" w:lineRule="auto"/>
              <w:rPr>
                <w:rFonts w:ascii="Arial (W1)" w:hAnsi="Arial (W1)" w:cs="Arial (W1)"/>
                <w:sz w:val="20"/>
                <w:szCs w:val="20"/>
              </w:rPr>
            </w:pPr>
          </w:p>
          <w:p w:rsidR="00120667" w:rsidRPr="0053393A" w:rsidRDefault="00F00A16" w:rsidP="00F82995">
            <w:pPr>
              <w:spacing w:after="58"/>
              <w:jc w:val="center"/>
              <w:rPr>
                <w:rFonts w:ascii="Arial (W1)" w:hAnsi="Arial (W1)" w:cs="Arial (W1)"/>
                <w:sz w:val="20"/>
                <w:szCs w:val="20"/>
              </w:rPr>
            </w:pPr>
            <w:r>
              <w:rPr>
                <w:rFonts w:ascii="Arial (W1)" w:hAnsi="Arial (W1)" w:cs="Arial (W1)"/>
                <w:sz w:val="20"/>
                <w:szCs w:val="20"/>
              </w:rPr>
              <w:t>6.84</w:t>
            </w:r>
          </w:p>
        </w:tc>
        <w:tc>
          <w:tcPr>
            <w:tcW w:w="897" w:type="dxa"/>
            <w:tcBorders>
              <w:bottom w:val="single" w:sz="4" w:space="0" w:color="auto"/>
            </w:tcBorders>
          </w:tcPr>
          <w:p w:rsidR="00120667" w:rsidRPr="003F4E03" w:rsidRDefault="00120667" w:rsidP="00387917">
            <w:pPr>
              <w:spacing w:line="-120" w:lineRule="auto"/>
              <w:rPr>
                <w:rFonts w:ascii="Arial (W1)" w:hAnsi="Arial (W1)" w:cs="Arial (W1)"/>
                <w:sz w:val="20"/>
                <w:szCs w:val="20"/>
              </w:rPr>
            </w:pPr>
          </w:p>
          <w:p w:rsidR="00120667" w:rsidRPr="003F4E03" w:rsidRDefault="005F6868" w:rsidP="00F00A16">
            <w:pPr>
              <w:spacing w:after="58"/>
              <w:jc w:val="center"/>
              <w:rPr>
                <w:rFonts w:ascii="Arial (W1)" w:hAnsi="Arial (W1)" w:cs="Arial (W1)"/>
                <w:sz w:val="20"/>
                <w:szCs w:val="20"/>
              </w:rPr>
            </w:pPr>
            <w:r w:rsidRPr="003F4E03">
              <w:rPr>
                <w:rFonts w:ascii="Arial (W1)" w:hAnsi="Arial (W1)" w:cs="Arial (W1)"/>
                <w:sz w:val="20"/>
                <w:szCs w:val="20"/>
              </w:rPr>
              <w:t>12.</w:t>
            </w:r>
            <w:r w:rsidR="00F00A16">
              <w:rPr>
                <w:rFonts w:ascii="Arial (W1)" w:hAnsi="Arial (W1)" w:cs="Arial (W1)"/>
                <w:sz w:val="20"/>
                <w:szCs w:val="20"/>
              </w:rPr>
              <w:t>62</w:t>
            </w:r>
          </w:p>
        </w:tc>
        <w:tc>
          <w:tcPr>
            <w:tcW w:w="897" w:type="dxa"/>
            <w:tcBorders>
              <w:bottom w:val="single" w:sz="4" w:space="0" w:color="auto"/>
            </w:tcBorders>
          </w:tcPr>
          <w:p w:rsidR="00F00A16" w:rsidRPr="003F4E03" w:rsidRDefault="005C0C6A" w:rsidP="00265629">
            <w:pPr>
              <w:spacing w:after="58"/>
              <w:jc w:val="center"/>
              <w:rPr>
                <w:rFonts w:ascii="Arial (W1)" w:hAnsi="Arial (W1)" w:cs="Arial (W1)"/>
                <w:sz w:val="20"/>
                <w:szCs w:val="20"/>
              </w:rPr>
            </w:pPr>
            <w:r>
              <w:rPr>
                <w:rFonts w:ascii="Arial (W1)" w:hAnsi="Arial (W1)" w:cs="Arial (W1)"/>
                <w:sz w:val="20"/>
                <w:szCs w:val="20"/>
              </w:rPr>
              <w:t>12.36</w:t>
            </w:r>
          </w:p>
        </w:tc>
        <w:tc>
          <w:tcPr>
            <w:tcW w:w="897" w:type="dxa"/>
            <w:tcBorders>
              <w:bottom w:val="single" w:sz="4" w:space="0" w:color="auto"/>
            </w:tcBorders>
          </w:tcPr>
          <w:p w:rsidR="00120667" w:rsidRPr="003F4E03" w:rsidRDefault="00120667" w:rsidP="00387917">
            <w:pPr>
              <w:spacing w:line="-120" w:lineRule="auto"/>
              <w:rPr>
                <w:rFonts w:ascii="Arial (W1)" w:hAnsi="Arial (W1)" w:cs="Arial (W1)"/>
                <w:sz w:val="20"/>
                <w:szCs w:val="20"/>
              </w:rPr>
            </w:pPr>
          </w:p>
          <w:p w:rsidR="00120667" w:rsidRPr="003F4E03" w:rsidRDefault="00F00A16" w:rsidP="00B43DDE">
            <w:pPr>
              <w:spacing w:after="58"/>
              <w:jc w:val="center"/>
              <w:rPr>
                <w:rFonts w:ascii="Arial (W1)" w:hAnsi="Arial (W1)" w:cs="Arial (W1)"/>
                <w:sz w:val="20"/>
                <w:szCs w:val="20"/>
              </w:rPr>
            </w:pPr>
            <w:r>
              <w:rPr>
                <w:rFonts w:ascii="Arial (W1)" w:hAnsi="Arial (W1)" w:cs="Arial (W1)"/>
                <w:sz w:val="20"/>
                <w:szCs w:val="20"/>
              </w:rPr>
              <w:t>(1.16)</w:t>
            </w:r>
          </w:p>
        </w:tc>
        <w:tc>
          <w:tcPr>
            <w:tcW w:w="949" w:type="dxa"/>
            <w:tcBorders>
              <w:bottom w:val="single" w:sz="4" w:space="0" w:color="auto"/>
            </w:tcBorders>
          </w:tcPr>
          <w:p w:rsidR="00120667" w:rsidRPr="003F4E03" w:rsidRDefault="00120667" w:rsidP="00387917">
            <w:pPr>
              <w:spacing w:line="-120" w:lineRule="auto"/>
              <w:rPr>
                <w:rFonts w:ascii="Arial (W1)" w:hAnsi="Arial (W1)" w:cs="Arial (W1)"/>
                <w:sz w:val="20"/>
                <w:szCs w:val="20"/>
              </w:rPr>
            </w:pPr>
          </w:p>
          <w:p w:rsidR="00120667" w:rsidRPr="003F4E03" w:rsidRDefault="005F6868" w:rsidP="00B43DDE">
            <w:pPr>
              <w:spacing w:after="58"/>
              <w:jc w:val="center"/>
              <w:rPr>
                <w:rFonts w:ascii="Arial (W1)" w:hAnsi="Arial (W1)" w:cs="Arial (W1)"/>
                <w:sz w:val="20"/>
                <w:szCs w:val="20"/>
              </w:rPr>
            </w:pPr>
            <w:r w:rsidRPr="003F4E03">
              <w:rPr>
                <w:rFonts w:ascii="Arial (W1)" w:hAnsi="Arial (W1)" w:cs="Arial (W1)"/>
                <w:sz w:val="20"/>
                <w:szCs w:val="20"/>
              </w:rPr>
              <w:t>2</w:t>
            </w:r>
            <w:r w:rsidR="00F00A16">
              <w:rPr>
                <w:rFonts w:ascii="Arial (W1)" w:hAnsi="Arial (W1)" w:cs="Arial (W1)"/>
                <w:sz w:val="20"/>
                <w:szCs w:val="20"/>
              </w:rPr>
              <w:t>2.12</w:t>
            </w:r>
          </w:p>
        </w:tc>
        <w:tc>
          <w:tcPr>
            <w:tcW w:w="360" w:type="dxa"/>
            <w:tcBorders>
              <w:bottom w:val="single" w:sz="4" w:space="0" w:color="auto"/>
            </w:tcBorders>
          </w:tcPr>
          <w:p w:rsidR="00120667" w:rsidRPr="001B4396" w:rsidRDefault="00120667" w:rsidP="00B43DDE">
            <w:pPr>
              <w:spacing w:after="58"/>
              <w:jc w:val="center"/>
              <w:rPr>
                <w:rFonts w:ascii="Arial (W1)" w:hAnsi="Arial (W1)" w:cs="Arial (W1)"/>
                <w:color w:val="C00000"/>
                <w:sz w:val="20"/>
                <w:szCs w:val="20"/>
              </w:rPr>
            </w:pPr>
          </w:p>
        </w:tc>
        <w:tc>
          <w:tcPr>
            <w:tcW w:w="2190" w:type="dxa"/>
            <w:tcBorders>
              <w:bottom w:val="single" w:sz="4" w:space="0" w:color="auto"/>
            </w:tcBorders>
          </w:tcPr>
          <w:p w:rsidR="00120667" w:rsidRPr="001B4396" w:rsidRDefault="00120667" w:rsidP="00387917">
            <w:pPr>
              <w:spacing w:line="-120" w:lineRule="auto"/>
              <w:rPr>
                <w:rFonts w:ascii="Arial (W1)" w:hAnsi="Arial (W1)" w:cs="Arial (W1)"/>
                <w:color w:val="C00000"/>
                <w:sz w:val="20"/>
                <w:szCs w:val="20"/>
              </w:rPr>
            </w:pPr>
          </w:p>
          <w:p w:rsidR="00120667" w:rsidRPr="001B4396" w:rsidRDefault="00F00A16" w:rsidP="00F82995">
            <w:pPr>
              <w:spacing w:after="58"/>
              <w:rPr>
                <w:rFonts w:ascii="Arial (W1)" w:hAnsi="Arial (W1)" w:cs="Arial (W1)"/>
                <w:color w:val="C00000"/>
                <w:sz w:val="20"/>
                <w:szCs w:val="20"/>
              </w:rPr>
            </w:pPr>
            <w:r>
              <w:rPr>
                <w:rFonts w:ascii="Arial (W1)" w:hAnsi="Arial (W1)" w:cs="Arial (W1)"/>
                <w:color w:val="C00000"/>
                <w:sz w:val="20"/>
                <w:szCs w:val="20"/>
              </w:rPr>
              <w:t xml:space="preserve"> </w:t>
            </w:r>
            <w:r w:rsidR="009517D1" w:rsidRPr="001B4396">
              <w:rPr>
                <w:rFonts w:ascii="Arial (W1)" w:hAnsi="Arial (W1)" w:cs="Arial (W1)"/>
                <w:color w:val="C00000"/>
                <w:sz w:val="20"/>
                <w:szCs w:val="20"/>
              </w:rPr>
              <w:t xml:space="preserve"> </w:t>
            </w:r>
            <w:r w:rsidR="00B347F0">
              <w:rPr>
                <w:rFonts w:ascii="Arial (W1)" w:hAnsi="Arial (W1)" w:cs="Arial (W1)"/>
                <w:sz w:val="20"/>
                <w:szCs w:val="20"/>
              </w:rPr>
              <w:t>10.56</w:t>
            </w:r>
            <w:r w:rsidR="00713843" w:rsidRPr="0053393A">
              <w:rPr>
                <w:rFonts w:ascii="Arial (W1)" w:hAnsi="Arial (W1)" w:cs="Arial (W1)"/>
                <w:sz w:val="20"/>
                <w:szCs w:val="20"/>
              </w:rPr>
              <w:t xml:space="preserve">  </w:t>
            </w:r>
            <w:r w:rsidR="00120667" w:rsidRPr="0053393A">
              <w:rPr>
                <w:rFonts w:ascii="Arial (W1)" w:hAnsi="Arial (W1)" w:cs="Arial (W1)"/>
                <w:sz w:val="20"/>
                <w:szCs w:val="20"/>
              </w:rPr>
              <w:t xml:space="preserve">   </w:t>
            </w:r>
            <w:r w:rsidR="00B347F0">
              <w:rPr>
                <w:rFonts w:ascii="Arial (W1)" w:hAnsi="Arial (W1)" w:cs="Arial (W1)"/>
                <w:sz w:val="20"/>
                <w:szCs w:val="20"/>
              </w:rPr>
              <w:t>8.73</w:t>
            </w:r>
          </w:p>
        </w:tc>
      </w:tr>
      <w:tr w:rsidR="00D75969" w:rsidRPr="001B4396" w:rsidTr="00AE14F1">
        <w:trPr>
          <w:trHeight w:val="70"/>
        </w:trPr>
        <w:tc>
          <w:tcPr>
            <w:tcW w:w="2303" w:type="dxa"/>
            <w:tcBorders>
              <w:bottom w:val="nil"/>
            </w:tcBorders>
          </w:tcPr>
          <w:p w:rsidR="00120667" w:rsidRPr="001B4396" w:rsidRDefault="00120667" w:rsidP="005C0C6A">
            <w:pPr>
              <w:spacing w:after="120"/>
              <w:rPr>
                <w:rFonts w:ascii="Arial" w:hAnsi="Arial" w:cs="Arial"/>
                <w:color w:val="C00000"/>
                <w:sz w:val="20"/>
                <w:szCs w:val="20"/>
              </w:rPr>
            </w:pPr>
          </w:p>
        </w:tc>
        <w:tc>
          <w:tcPr>
            <w:tcW w:w="897" w:type="dxa"/>
            <w:tcBorders>
              <w:bottom w:val="nil"/>
            </w:tcBorders>
          </w:tcPr>
          <w:p w:rsidR="00120667" w:rsidRPr="001B4396" w:rsidRDefault="00120667" w:rsidP="00387917">
            <w:pPr>
              <w:spacing w:after="58"/>
              <w:jc w:val="center"/>
              <w:rPr>
                <w:rFonts w:ascii="Arial (W1)" w:hAnsi="Arial (W1)" w:cs="Arial (W1)"/>
                <w:color w:val="C00000"/>
                <w:sz w:val="20"/>
                <w:szCs w:val="20"/>
              </w:rPr>
            </w:pPr>
          </w:p>
        </w:tc>
        <w:tc>
          <w:tcPr>
            <w:tcW w:w="897" w:type="dxa"/>
            <w:tcBorders>
              <w:bottom w:val="nil"/>
            </w:tcBorders>
          </w:tcPr>
          <w:p w:rsidR="00120667" w:rsidRPr="005C0C6A" w:rsidRDefault="00120667" w:rsidP="00387917">
            <w:pPr>
              <w:spacing w:after="58"/>
              <w:jc w:val="center"/>
              <w:rPr>
                <w:rFonts w:ascii="Arial (W1)" w:hAnsi="Arial (W1)" w:cs="Arial (W1)"/>
                <w:sz w:val="20"/>
                <w:szCs w:val="20"/>
              </w:rPr>
            </w:pPr>
          </w:p>
        </w:tc>
        <w:tc>
          <w:tcPr>
            <w:tcW w:w="897" w:type="dxa"/>
            <w:tcBorders>
              <w:bottom w:val="nil"/>
            </w:tcBorders>
          </w:tcPr>
          <w:p w:rsidR="00120667" w:rsidRPr="005C0C6A" w:rsidRDefault="00120667" w:rsidP="00B47164">
            <w:pPr>
              <w:spacing w:after="58"/>
              <w:rPr>
                <w:rFonts w:ascii="Arial (W1)" w:hAnsi="Arial (W1)" w:cs="Arial (W1)"/>
                <w:sz w:val="20"/>
                <w:szCs w:val="20"/>
              </w:rPr>
            </w:pPr>
          </w:p>
        </w:tc>
        <w:tc>
          <w:tcPr>
            <w:tcW w:w="897" w:type="dxa"/>
            <w:tcBorders>
              <w:bottom w:val="nil"/>
            </w:tcBorders>
          </w:tcPr>
          <w:p w:rsidR="00120667" w:rsidRPr="001B4396" w:rsidRDefault="00120667" w:rsidP="00AE14F1">
            <w:pPr>
              <w:spacing w:after="58"/>
              <w:jc w:val="center"/>
              <w:rPr>
                <w:rFonts w:ascii="Arial (W1)" w:hAnsi="Arial (W1)" w:cs="Arial (W1)"/>
                <w:color w:val="C00000"/>
                <w:sz w:val="20"/>
                <w:szCs w:val="20"/>
              </w:rPr>
            </w:pPr>
          </w:p>
        </w:tc>
        <w:tc>
          <w:tcPr>
            <w:tcW w:w="949" w:type="dxa"/>
            <w:tcBorders>
              <w:bottom w:val="nil"/>
            </w:tcBorders>
          </w:tcPr>
          <w:p w:rsidR="00120667" w:rsidRPr="001B4396" w:rsidRDefault="00120667" w:rsidP="00387917">
            <w:pPr>
              <w:spacing w:after="58"/>
              <w:jc w:val="center"/>
              <w:rPr>
                <w:rFonts w:ascii="Arial (W1)" w:hAnsi="Arial (W1)" w:cs="Arial (W1)"/>
                <w:color w:val="C00000"/>
                <w:sz w:val="20"/>
                <w:szCs w:val="20"/>
              </w:rPr>
            </w:pPr>
          </w:p>
        </w:tc>
        <w:tc>
          <w:tcPr>
            <w:tcW w:w="360" w:type="dxa"/>
            <w:tcBorders>
              <w:bottom w:val="nil"/>
            </w:tcBorders>
          </w:tcPr>
          <w:p w:rsidR="00120667" w:rsidRPr="001B4396" w:rsidRDefault="00120667" w:rsidP="00B43DDE">
            <w:pPr>
              <w:spacing w:after="58"/>
              <w:jc w:val="center"/>
              <w:rPr>
                <w:rFonts w:ascii="Arial (W1)" w:hAnsi="Arial (W1)" w:cs="Arial (W1)"/>
                <w:color w:val="C00000"/>
                <w:sz w:val="20"/>
                <w:szCs w:val="20"/>
              </w:rPr>
            </w:pPr>
          </w:p>
        </w:tc>
        <w:tc>
          <w:tcPr>
            <w:tcW w:w="2190" w:type="dxa"/>
            <w:tcBorders>
              <w:bottom w:val="nil"/>
            </w:tcBorders>
          </w:tcPr>
          <w:p w:rsidR="00120667" w:rsidRPr="001B4396" w:rsidRDefault="00120667" w:rsidP="00C17E24">
            <w:pPr>
              <w:spacing w:after="58"/>
              <w:rPr>
                <w:rFonts w:ascii="Arial (W1)" w:hAnsi="Arial (W1)" w:cs="Arial (W1)"/>
                <w:color w:val="C00000"/>
                <w:sz w:val="20"/>
                <w:szCs w:val="20"/>
              </w:rPr>
            </w:pPr>
          </w:p>
        </w:tc>
      </w:tr>
      <w:tr w:rsidR="00974B10" w:rsidRPr="001B4396" w:rsidTr="00AE14F1">
        <w:trPr>
          <w:trHeight w:val="243"/>
        </w:trPr>
        <w:tc>
          <w:tcPr>
            <w:tcW w:w="2303" w:type="dxa"/>
            <w:tcBorders>
              <w:top w:val="nil"/>
            </w:tcBorders>
          </w:tcPr>
          <w:p w:rsidR="00974B10" w:rsidRDefault="00C179E7" w:rsidP="00387917">
            <w:pPr>
              <w:spacing w:after="58"/>
              <w:rPr>
                <w:rFonts w:ascii="Arial" w:hAnsi="Arial" w:cs="Arial"/>
                <w:sz w:val="20"/>
                <w:szCs w:val="20"/>
              </w:rPr>
            </w:pPr>
            <w:r>
              <w:rPr>
                <w:rFonts w:ascii="Arial" w:hAnsi="Arial" w:cs="Arial"/>
                <w:sz w:val="20"/>
                <w:szCs w:val="20"/>
              </w:rPr>
              <w:t>BALCOM</w:t>
            </w:r>
          </w:p>
          <w:p w:rsidR="005C0C6A" w:rsidRDefault="005C0C6A" w:rsidP="00387917">
            <w:pPr>
              <w:spacing w:after="58"/>
              <w:rPr>
                <w:rFonts w:ascii="Arial" w:hAnsi="Arial" w:cs="Arial"/>
                <w:sz w:val="20"/>
                <w:szCs w:val="20"/>
              </w:rPr>
            </w:pPr>
            <w:r>
              <w:rPr>
                <w:rFonts w:ascii="Arial" w:hAnsi="Arial" w:cs="Arial"/>
                <w:sz w:val="20"/>
                <w:szCs w:val="20"/>
              </w:rPr>
              <w:t xml:space="preserve">12 months, </w:t>
            </w:r>
          </w:p>
          <w:p w:rsidR="005C0C6A" w:rsidRPr="00974B10" w:rsidRDefault="005C0C6A" w:rsidP="00387917">
            <w:pPr>
              <w:spacing w:after="58"/>
              <w:rPr>
                <w:rFonts w:ascii="Arial" w:hAnsi="Arial" w:cs="Arial"/>
                <w:sz w:val="20"/>
                <w:szCs w:val="20"/>
              </w:rPr>
            </w:pPr>
            <w:r>
              <w:rPr>
                <w:rFonts w:ascii="Arial" w:hAnsi="Arial" w:cs="Arial"/>
                <w:sz w:val="20"/>
                <w:szCs w:val="20"/>
              </w:rPr>
              <w:t>April to April)</w:t>
            </w:r>
          </w:p>
        </w:tc>
        <w:tc>
          <w:tcPr>
            <w:tcW w:w="897" w:type="dxa"/>
            <w:tcBorders>
              <w:top w:val="nil"/>
            </w:tcBorders>
          </w:tcPr>
          <w:p w:rsidR="00974B10" w:rsidRPr="00B47164" w:rsidRDefault="00F61AB9" w:rsidP="00387917">
            <w:pPr>
              <w:spacing w:after="58"/>
              <w:jc w:val="center"/>
              <w:rPr>
                <w:rFonts w:ascii="Arial" w:hAnsi="Arial" w:cs="Arial"/>
                <w:sz w:val="20"/>
                <w:szCs w:val="20"/>
              </w:rPr>
            </w:pPr>
            <w:r>
              <w:rPr>
                <w:rFonts w:ascii="Arial" w:hAnsi="Arial" w:cs="Arial"/>
                <w:sz w:val="20"/>
                <w:szCs w:val="20"/>
              </w:rPr>
              <w:t>(</w:t>
            </w:r>
            <w:r w:rsidR="00B47164" w:rsidRPr="00B47164">
              <w:rPr>
                <w:rFonts w:ascii="Arial" w:hAnsi="Arial" w:cs="Arial"/>
                <w:sz w:val="20"/>
                <w:szCs w:val="20"/>
              </w:rPr>
              <w:t>0.08)</w:t>
            </w:r>
          </w:p>
        </w:tc>
        <w:tc>
          <w:tcPr>
            <w:tcW w:w="897" w:type="dxa"/>
            <w:tcBorders>
              <w:top w:val="nil"/>
            </w:tcBorders>
          </w:tcPr>
          <w:p w:rsidR="00974B10" w:rsidRDefault="001B39B6" w:rsidP="00265629">
            <w:pPr>
              <w:spacing w:after="58" w:line="360" w:lineRule="auto"/>
              <w:jc w:val="center"/>
              <w:rPr>
                <w:rFonts w:ascii="Arial" w:hAnsi="Arial" w:cs="Arial"/>
                <w:sz w:val="20"/>
                <w:szCs w:val="20"/>
              </w:rPr>
            </w:pPr>
            <w:r w:rsidRPr="00B47164">
              <w:rPr>
                <w:rFonts w:ascii="Arial" w:hAnsi="Arial" w:cs="Arial"/>
                <w:sz w:val="20"/>
                <w:szCs w:val="20"/>
              </w:rPr>
              <w:t>10.13</w:t>
            </w:r>
          </w:p>
          <w:p w:rsidR="00265629" w:rsidRPr="00B47164" w:rsidRDefault="00265629" w:rsidP="00265629">
            <w:pPr>
              <w:spacing w:after="58" w:line="360" w:lineRule="auto"/>
              <w:jc w:val="center"/>
              <w:rPr>
                <w:rFonts w:ascii="Arial" w:hAnsi="Arial" w:cs="Arial"/>
                <w:sz w:val="20"/>
                <w:szCs w:val="20"/>
              </w:rPr>
            </w:pPr>
          </w:p>
        </w:tc>
        <w:tc>
          <w:tcPr>
            <w:tcW w:w="897" w:type="dxa"/>
            <w:tcBorders>
              <w:top w:val="nil"/>
            </w:tcBorders>
          </w:tcPr>
          <w:p w:rsidR="00974B10" w:rsidRPr="001B4396" w:rsidRDefault="00974B10" w:rsidP="00E97543">
            <w:pPr>
              <w:spacing w:line="-120" w:lineRule="auto"/>
              <w:rPr>
                <w:rFonts w:ascii="Arial" w:hAnsi="Arial" w:cs="Arial"/>
                <w:color w:val="C00000"/>
                <w:sz w:val="20"/>
                <w:szCs w:val="20"/>
              </w:rPr>
            </w:pPr>
          </w:p>
          <w:p w:rsidR="00974B10" w:rsidRPr="001B4396" w:rsidRDefault="00C179E7" w:rsidP="00265629">
            <w:pPr>
              <w:spacing w:after="58"/>
              <w:jc w:val="center"/>
              <w:rPr>
                <w:rFonts w:ascii="Arial" w:hAnsi="Arial" w:cs="Arial"/>
                <w:color w:val="C00000"/>
                <w:sz w:val="20"/>
                <w:szCs w:val="20"/>
              </w:rPr>
            </w:pPr>
            <w:r w:rsidRPr="00C179E7">
              <w:rPr>
                <w:rFonts w:ascii="Arial" w:hAnsi="Arial" w:cs="Arial"/>
                <w:sz w:val="20"/>
                <w:szCs w:val="20"/>
              </w:rPr>
              <w:t>5.04</w:t>
            </w:r>
          </w:p>
        </w:tc>
        <w:tc>
          <w:tcPr>
            <w:tcW w:w="897" w:type="dxa"/>
            <w:tcBorders>
              <w:top w:val="nil"/>
            </w:tcBorders>
          </w:tcPr>
          <w:p w:rsidR="00974B10" w:rsidRPr="003F4E03" w:rsidRDefault="00974B10" w:rsidP="00974B10">
            <w:pPr>
              <w:spacing w:line="-120" w:lineRule="auto"/>
              <w:rPr>
                <w:rFonts w:ascii="Arial" w:hAnsi="Arial" w:cs="Arial"/>
                <w:sz w:val="20"/>
                <w:szCs w:val="20"/>
              </w:rPr>
            </w:pPr>
          </w:p>
          <w:p w:rsidR="00974B10" w:rsidRPr="003F4E03" w:rsidRDefault="00974B10" w:rsidP="00974B10">
            <w:pPr>
              <w:spacing w:after="58"/>
              <w:jc w:val="center"/>
              <w:rPr>
                <w:rFonts w:ascii="Arial" w:hAnsi="Arial" w:cs="Arial"/>
                <w:sz w:val="20"/>
                <w:szCs w:val="20"/>
              </w:rPr>
            </w:pPr>
            <w:r w:rsidRPr="003F4E03">
              <w:rPr>
                <w:rFonts w:ascii="Arial" w:hAnsi="Arial" w:cs="Arial"/>
                <w:sz w:val="20"/>
                <w:szCs w:val="20"/>
              </w:rPr>
              <w:t>0.07</w:t>
            </w:r>
          </w:p>
        </w:tc>
        <w:tc>
          <w:tcPr>
            <w:tcW w:w="949" w:type="dxa"/>
            <w:tcBorders>
              <w:top w:val="nil"/>
            </w:tcBorders>
          </w:tcPr>
          <w:p w:rsidR="00974B10" w:rsidRPr="003F4E03" w:rsidRDefault="00974B10" w:rsidP="00387917">
            <w:pPr>
              <w:spacing w:line="-120" w:lineRule="auto"/>
              <w:rPr>
                <w:rFonts w:ascii="Arial" w:hAnsi="Arial" w:cs="Arial"/>
                <w:sz w:val="20"/>
                <w:szCs w:val="20"/>
              </w:rPr>
            </w:pPr>
          </w:p>
          <w:p w:rsidR="00974B10" w:rsidRPr="003F4E03" w:rsidRDefault="00974B10" w:rsidP="00B71628">
            <w:pPr>
              <w:spacing w:after="58"/>
              <w:jc w:val="center"/>
              <w:rPr>
                <w:rFonts w:ascii="Arial" w:hAnsi="Arial" w:cs="Arial"/>
                <w:sz w:val="20"/>
                <w:szCs w:val="20"/>
              </w:rPr>
            </w:pPr>
            <w:r w:rsidRPr="003F4E03">
              <w:rPr>
                <w:rFonts w:ascii="Arial" w:hAnsi="Arial" w:cs="Arial"/>
                <w:sz w:val="20"/>
                <w:szCs w:val="20"/>
              </w:rPr>
              <w:t xml:space="preserve">8.64 </w:t>
            </w:r>
          </w:p>
        </w:tc>
        <w:tc>
          <w:tcPr>
            <w:tcW w:w="360" w:type="dxa"/>
            <w:tcBorders>
              <w:top w:val="nil"/>
            </w:tcBorders>
          </w:tcPr>
          <w:p w:rsidR="00974B10" w:rsidRPr="001B4396" w:rsidRDefault="00974B10" w:rsidP="00387917">
            <w:pPr>
              <w:spacing w:line="-120" w:lineRule="auto"/>
              <w:rPr>
                <w:rFonts w:ascii="Arial" w:hAnsi="Arial" w:cs="Arial"/>
                <w:color w:val="C00000"/>
                <w:sz w:val="20"/>
                <w:szCs w:val="20"/>
              </w:rPr>
            </w:pPr>
          </w:p>
          <w:p w:rsidR="00974B10" w:rsidRPr="001B4396" w:rsidRDefault="00974B10" w:rsidP="00B12CA2">
            <w:pPr>
              <w:tabs>
                <w:tab w:val="left" w:pos="-1440"/>
              </w:tabs>
              <w:spacing w:after="58"/>
              <w:jc w:val="center"/>
              <w:rPr>
                <w:rFonts w:ascii="Arial" w:hAnsi="Arial" w:cs="Arial"/>
                <w:color w:val="C00000"/>
                <w:sz w:val="20"/>
                <w:szCs w:val="20"/>
              </w:rPr>
            </w:pPr>
            <w:r w:rsidRPr="001B4396">
              <w:rPr>
                <w:rFonts w:ascii="Arial" w:hAnsi="Arial" w:cs="Arial"/>
                <w:color w:val="C00000"/>
                <w:sz w:val="20"/>
                <w:szCs w:val="20"/>
              </w:rPr>
              <w:t xml:space="preserve"> </w:t>
            </w:r>
          </w:p>
        </w:tc>
        <w:tc>
          <w:tcPr>
            <w:tcW w:w="2190" w:type="dxa"/>
            <w:tcBorders>
              <w:top w:val="nil"/>
            </w:tcBorders>
          </w:tcPr>
          <w:p w:rsidR="00974B10" w:rsidRPr="001B4396" w:rsidRDefault="00974B10" w:rsidP="00387917">
            <w:pPr>
              <w:spacing w:line="-120" w:lineRule="auto"/>
              <w:rPr>
                <w:rFonts w:ascii="Arial" w:hAnsi="Arial" w:cs="Arial"/>
                <w:color w:val="C00000"/>
                <w:sz w:val="20"/>
                <w:szCs w:val="20"/>
              </w:rPr>
            </w:pPr>
          </w:p>
          <w:p w:rsidR="00974B10" w:rsidRPr="001B4396" w:rsidRDefault="00B347F0" w:rsidP="001B39B6">
            <w:pPr>
              <w:tabs>
                <w:tab w:val="left" w:pos="-1440"/>
              </w:tabs>
              <w:spacing w:after="58"/>
              <w:rPr>
                <w:rFonts w:ascii="Arial" w:hAnsi="Arial" w:cs="Arial"/>
                <w:color w:val="C00000"/>
                <w:sz w:val="20"/>
                <w:szCs w:val="20"/>
              </w:rPr>
            </w:pPr>
            <w:r>
              <w:rPr>
                <w:rFonts w:ascii="Arial" w:hAnsi="Arial" w:cs="Arial"/>
                <w:sz w:val="20"/>
                <w:szCs w:val="20"/>
              </w:rPr>
              <w:t xml:space="preserve">   4.76</w:t>
            </w:r>
            <w:r w:rsidR="00974B10">
              <w:rPr>
                <w:rFonts w:ascii="Arial" w:hAnsi="Arial" w:cs="Arial"/>
                <w:sz w:val="20"/>
                <w:szCs w:val="20"/>
              </w:rPr>
              <w:t xml:space="preserve">  </w:t>
            </w:r>
            <w:r>
              <w:rPr>
                <w:rFonts w:ascii="Arial" w:hAnsi="Arial" w:cs="Arial"/>
                <w:sz w:val="20"/>
                <w:szCs w:val="20"/>
              </w:rPr>
              <w:t xml:space="preserve">  </w:t>
            </w:r>
            <w:r w:rsidR="001B39B6">
              <w:rPr>
                <w:rFonts w:ascii="Arial" w:hAnsi="Arial" w:cs="Arial"/>
                <w:sz w:val="20"/>
                <w:szCs w:val="20"/>
              </w:rPr>
              <w:t xml:space="preserve">  </w:t>
            </w:r>
            <w:r w:rsidR="00B47164">
              <w:rPr>
                <w:rFonts w:ascii="Arial" w:hAnsi="Arial" w:cs="Arial"/>
                <w:sz w:val="20"/>
                <w:szCs w:val="20"/>
              </w:rPr>
              <w:t>4.</w:t>
            </w:r>
            <w:r>
              <w:rPr>
                <w:rFonts w:ascii="Arial" w:hAnsi="Arial" w:cs="Arial"/>
                <w:sz w:val="20"/>
                <w:szCs w:val="20"/>
              </w:rPr>
              <w:t>83</w:t>
            </w:r>
          </w:p>
        </w:tc>
      </w:tr>
      <w:tr w:rsidR="00974B10" w:rsidRPr="001B4396" w:rsidTr="005C0C6A">
        <w:trPr>
          <w:trHeight w:val="710"/>
        </w:trPr>
        <w:tc>
          <w:tcPr>
            <w:tcW w:w="2303" w:type="dxa"/>
          </w:tcPr>
          <w:p w:rsidR="00974B10" w:rsidRPr="003F4E03" w:rsidRDefault="00974B10" w:rsidP="00387917">
            <w:pPr>
              <w:spacing w:after="58"/>
              <w:rPr>
                <w:rFonts w:ascii="Arial" w:hAnsi="Arial" w:cs="Arial"/>
                <w:sz w:val="20"/>
                <w:szCs w:val="20"/>
              </w:rPr>
            </w:pPr>
          </w:p>
          <w:p w:rsidR="005C0C6A" w:rsidRDefault="00C179E7" w:rsidP="00C179E7">
            <w:pPr>
              <w:spacing w:after="58"/>
              <w:rPr>
                <w:rFonts w:ascii="Arial" w:hAnsi="Arial" w:cs="Arial"/>
                <w:sz w:val="20"/>
                <w:szCs w:val="20"/>
              </w:rPr>
            </w:pPr>
            <w:r>
              <w:rPr>
                <w:rFonts w:ascii="Arial" w:hAnsi="Arial" w:cs="Arial"/>
                <w:sz w:val="20"/>
                <w:szCs w:val="20"/>
              </w:rPr>
              <w:t>BOUTWELL</w:t>
            </w:r>
          </w:p>
          <w:p w:rsidR="005C0C6A" w:rsidRDefault="005C0C6A" w:rsidP="00C179E7">
            <w:pPr>
              <w:spacing w:after="58"/>
              <w:rPr>
                <w:rFonts w:ascii="Arial" w:hAnsi="Arial" w:cs="Arial"/>
                <w:sz w:val="20"/>
                <w:szCs w:val="20"/>
              </w:rPr>
            </w:pPr>
            <w:r>
              <w:rPr>
                <w:rFonts w:ascii="Arial" w:hAnsi="Arial" w:cs="Arial"/>
                <w:sz w:val="20"/>
                <w:szCs w:val="20"/>
              </w:rPr>
              <w:t xml:space="preserve">12 months, </w:t>
            </w:r>
          </w:p>
          <w:p w:rsidR="00974B10" w:rsidRPr="001B4396" w:rsidRDefault="005C0C6A" w:rsidP="00C179E7">
            <w:pPr>
              <w:spacing w:after="58"/>
              <w:rPr>
                <w:rFonts w:ascii="Arial" w:hAnsi="Arial" w:cs="Arial"/>
                <w:color w:val="C00000"/>
                <w:sz w:val="20"/>
                <w:szCs w:val="20"/>
              </w:rPr>
            </w:pPr>
            <w:r>
              <w:rPr>
                <w:rFonts w:ascii="Arial" w:hAnsi="Arial" w:cs="Arial"/>
                <w:sz w:val="20"/>
                <w:szCs w:val="20"/>
              </w:rPr>
              <w:t>April to April)</w:t>
            </w:r>
            <w:r w:rsidR="00974B10" w:rsidRPr="003F4E03">
              <w:rPr>
                <w:rFonts w:ascii="Arial" w:hAnsi="Arial" w:cs="Arial"/>
                <w:sz w:val="20"/>
                <w:szCs w:val="20"/>
              </w:rPr>
              <w:t xml:space="preserve"> </w:t>
            </w:r>
          </w:p>
        </w:tc>
        <w:tc>
          <w:tcPr>
            <w:tcW w:w="897" w:type="dxa"/>
          </w:tcPr>
          <w:p w:rsidR="00974B10" w:rsidRPr="001B4396" w:rsidRDefault="00974B10" w:rsidP="00387917">
            <w:pPr>
              <w:spacing w:after="58"/>
              <w:jc w:val="center"/>
              <w:rPr>
                <w:rFonts w:ascii="Arial" w:hAnsi="Arial" w:cs="Arial"/>
                <w:color w:val="C00000"/>
                <w:sz w:val="20"/>
                <w:szCs w:val="20"/>
              </w:rPr>
            </w:pPr>
          </w:p>
          <w:p w:rsidR="00974B10" w:rsidRPr="005D6209" w:rsidRDefault="005D6209" w:rsidP="00387917">
            <w:pPr>
              <w:spacing w:after="58"/>
              <w:jc w:val="center"/>
              <w:rPr>
                <w:rFonts w:ascii="Arial" w:hAnsi="Arial" w:cs="Arial"/>
                <w:sz w:val="20"/>
                <w:szCs w:val="20"/>
              </w:rPr>
            </w:pPr>
            <w:r w:rsidRPr="005D6209">
              <w:rPr>
                <w:rFonts w:ascii="Arial" w:hAnsi="Arial" w:cs="Arial"/>
                <w:sz w:val="20"/>
                <w:szCs w:val="20"/>
              </w:rPr>
              <w:t>(6.88)</w:t>
            </w:r>
          </w:p>
        </w:tc>
        <w:tc>
          <w:tcPr>
            <w:tcW w:w="897" w:type="dxa"/>
          </w:tcPr>
          <w:p w:rsidR="00974B10" w:rsidRPr="003F4E03" w:rsidRDefault="00974B10" w:rsidP="00387917">
            <w:pPr>
              <w:spacing w:after="58"/>
              <w:jc w:val="center"/>
              <w:rPr>
                <w:rFonts w:ascii="Arial" w:hAnsi="Arial" w:cs="Arial"/>
                <w:sz w:val="20"/>
                <w:szCs w:val="20"/>
              </w:rPr>
            </w:pPr>
          </w:p>
          <w:p w:rsidR="00974B10" w:rsidRPr="003F4E03" w:rsidRDefault="00974B10" w:rsidP="00C179E7">
            <w:pPr>
              <w:spacing w:after="58"/>
              <w:rPr>
                <w:rFonts w:ascii="Arial" w:hAnsi="Arial" w:cs="Arial"/>
                <w:sz w:val="20"/>
                <w:szCs w:val="20"/>
              </w:rPr>
            </w:pPr>
            <w:r w:rsidRPr="003F4E03">
              <w:rPr>
                <w:rFonts w:ascii="Arial" w:hAnsi="Arial" w:cs="Arial"/>
                <w:sz w:val="20"/>
                <w:szCs w:val="20"/>
              </w:rPr>
              <w:t xml:space="preserve"> </w:t>
            </w:r>
            <w:r w:rsidR="00C179E7" w:rsidRPr="0093309A">
              <w:rPr>
                <w:rFonts w:ascii="Arial" w:hAnsi="Arial" w:cs="Arial"/>
                <w:sz w:val="20"/>
                <w:szCs w:val="20"/>
              </w:rPr>
              <w:t>29.26</w:t>
            </w:r>
          </w:p>
        </w:tc>
        <w:tc>
          <w:tcPr>
            <w:tcW w:w="897" w:type="dxa"/>
          </w:tcPr>
          <w:p w:rsidR="00974B10" w:rsidRPr="003F4E03" w:rsidRDefault="00974B10" w:rsidP="00387917">
            <w:pPr>
              <w:spacing w:after="58"/>
              <w:jc w:val="right"/>
              <w:rPr>
                <w:rFonts w:ascii="Arial" w:hAnsi="Arial" w:cs="Arial"/>
                <w:sz w:val="20"/>
                <w:szCs w:val="20"/>
              </w:rPr>
            </w:pPr>
          </w:p>
          <w:p w:rsidR="00974B10" w:rsidRPr="003F4E03" w:rsidRDefault="00C179E7" w:rsidP="00387917">
            <w:pPr>
              <w:spacing w:after="58"/>
              <w:jc w:val="center"/>
              <w:rPr>
                <w:rFonts w:ascii="Arial" w:hAnsi="Arial" w:cs="Arial"/>
                <w:sz w:val="20"/>
                <w:szCs w:val="20"/>
              </w:rPr>
            </w:pPr>
            <w:r>
              <w:rPr>
                <w:rFonts w:ascii="Arial" w:hAnsi="Arial" w:cs="Arial"/>
                <w:sz w:val="20"/>
                <w:szCs w:val="20"/>
              </w:rPr>
              <w:t>26.95</w:t>
            </w:r>
          </w:p>
        </w:tc>
        <w:tc>
          <w:tcPr>
            <w:tcW w:w="897" w:type="dxa"/>
          </w:tcPr>
          <w:p w:rsidR="00974B10" w:rsidRPr="003F4E03" w:rsidRDefault="00974B10" w:rsidP="00387917">
            <w:pPr>
              <w:spacing w:after="58"/>
              <w:jc w:val="right"/>
              <w:rPr>
                <w:rFonts w:ascii="Arial" w:hAnsi="Arial" w:cs="Arial"/>
                <w:sz w:val="20"/>
                <w:szCs w:val="20"/>
              </w:rPr>
            </w:pPr>
          </w:p>
          <w:p w:rsidR="00974B10" w:rsidRPr="003F4E03" w:rsidRDefault="00C179E7" w:rsidP="00387917">
            <w:pPr>
              <w:spacing w:after="58"/>
              <w:jc w:val="center"/>
              <w:rPr>
                <w:rFonts w:ascii="Arial" w:hAnsi="Arial" w:cs="Arial"/>
                <w:sz w:val="20"/>
                <w:szCs w:val="20"/>
              </w:rPr>
            </w:pPr>
            <w:r w:rsidRPr="003F4E03">
              <w:rPr>
                <w:rFonts w:ascii="Arial" w:hAnsi="Arial" w:cs="Arial"/>
                <w:sz w:val="20"/>
                <w:szCs w:val="20"/>
              </w:rPr>
              <w:t>1.71</w:t>
            </w:r>
          </w:p>
        </w:tc>
        <w:tc>
          <w:tcPr>
            <w:tcW w:w="949" w:type="dxa"/>
          </w:tcPr>
          <w:p w:rsidR="00974B10" w:rsidRPr="003F4E03" w:rsidRDefault="00974B10" w:rsidP="00387917">
            <w:pPr>
              <w:spacing w:after="58"/>
              <w:jc w:val="right"/>
              <w:rPr>
                <w:rFonts w:ascii="Arial" w:hAnsi="Arial" w:cs="Arial"/>
                <w:sz w:val="20"/>
                <w:szCs w:val="20"/>
              </w:rPr>
            </w:pPr>
          </w:p>
          <w:p w:rsidR="00974B10" w:rsidRPr="003F4E03" w:rsidRDefault="00C179E7" w:rsidP="00387917">
            <w:pPr>
              <w:spacing w:after="58"/>
              <w:rPr>
                <w:rFonts w:ascii="Arial" w:hAnsi="Arial" w:cs="Arial"/>
                <w:sz w:val="20"/>
                <w:szCs w:val="20"/>
              </w:rPr>
            </w:pPr>
            <w:r w:rsidRPr="003F4E03">
              <w:rPr>
                <w:rFonts w:ascii="Arial" w:hAnsi="Arial" w:cs="Arial"/>
                <w:sz w:val="20"/>
                <w:szCs w:val="20"/>
              </w:rPr>
              <w:t>13.68</w:t>
            </w:r>
          </w:p>
        </w:tc>
        <w:tc>
          <w:tcPr>
            <w:tcW w:w="360" w:type="dxa"/>
          </w:tcPr>
          <w:p w:rsidR="00974B10" w:rsidRPr="001B4396" w:rsidRDefault="00974B10" w:rsidP="00B12CA2">
            <w:pPr>
              <w:tabs>
                <w:tab w:val="left" w:pos="-1440"/>
              </w:tabs>
              <w:spacing w:after="58"/>
              <w:jc w:val="center"/>
              <w:rPr>
                <w:rFonts w:ascii="Arial" w:hAnsi="Arial" w:cs="Arial"/>
                <w:color w:val="C00000"/>
                <w:sz w:val="20"/>
                <w:szCs w:val="20"/>
              </w:rPr>
            </w:pPr>
          </w:p>
        </w:tc>
        <w:tc>
          <w:tcPr>
            <w:tcW w:w="2190" w:type="dxa"/>
          </w:tcPr>
          <w:p w:rsidR="00974B10" w:rsidRPr="001B4396" w:rsidRDefault="00974B10" w:rsidP="00387917">
            <w:pPr>
              <w:tabs>
                <w:tab w:val="left" w:pos="-1440"/>
              </w:tabs>
              <w:spacing w:after="58"/>
              <w:rPr>
                <w:rFonts w:ascii="Arial" w:hAnsi="Arial" w:cs="Arial"/>
                <w:color w:val="C00000"/>
                <w:sz w:val="20"/>
                <w:szCs w:val="20"/>
              </w:rPr>
            </w:pPr>
          </w:p>
          <w:p w:rsidR="00974B10" w:rsidRPr="001B4396" w:rsidRDefault="00B347F0" w:rsidP="00BF1B4F">
            <w:pPr>
              <w:tabs>
                <w:tab w:val="left" w:pos="-1440"/>
              </w:tabs>
              <w:spacing w:after="58"/>
              <w:rPr>
                <w:rFonts w:ascii="Arial" w:hAnsi="Arial" w:cs="Arial"/>
                <w:color w:val="C00000"/>
                <w:sz w:val="20"/>
                <w:szCs w:val="20"/>
              </w:rPr>
            </w:pPr>
            <w:r>
              <w:rPr>
                <w:rFonts w:ascii="Arial" w:hAnsi="Arial" w:cs="Arial"/>
                <w:color w:val="C00000"/>
                <w:sz w:val="20"/>
                <w:szCs w:val="20"/>
              </w:rPr>
              <w:t xml:space="preserve"> </w:t>
            </w:r>
            <w:r w:rsidR="00974B10" w:rsidRPr="001B4396">
              <w:rPr>
                <w:rFonts w:ascii="Arial" w:hAnsi="Arial" w:cs="Arial"/>
                <w:color w:val="C00000"/>
                <w:sz w:val="20"/>
                <w:szCs w:val="20"/>
              </w:rPr>
              <w:t xml:space="preserve"> </w:t>
            </w:r>
            <w:r w:rsidR="00D75969">
              <w:rPr>
                <w:rFonts w:ascii="Arial" w:hAnsi="Arial" w:cs="Arial"/>
                <w:sz w:val="20"/>
                <w:szCs w:val="20"/>
              </w:rPr>
              <w:t>1</w:t>
            </w:r>
            <w:r>
              <w:rPr>
                <w:rFonts w:ascii="Arial" w:hAnsi="Arial" w:cs="Arial"/>
                <w:sz w:val="20"/>
                <w:szCs w:val="20"/>
              </w:rPr>
              <w:t>2.94</w:t>
            </w:r>
            <w:r w:rsidR="00974B10">
              <w:rPr>
                <w:rFonts w:ascii="Arial" w:hAnsi="Arial" w:cs="Arial"/>
                <w:sz w:val="20"/>
                <w:szCs w:val="20"/>
              </w:rPr>
              <w:t xml:space="preserve">  </w:t>
            </w:r>
            <w:r>
              <w:rPr>
                <w:rFonts w:ascii="Arial" w:hAnsi="Arial" w:cs="Arial"/>
                <w:sz w:val="20"/>
                <w:szCs w:val="20"/>
              </w:rPr>
              <w:t xml:space="preserve">  </w:t>
            </w:r>
            <w:r w:rsidR="00974B10">
              <w:rPr>
                <w:rFonts w:ascii="Arial" w:hAnsi="Arial" w:cs="Arial"/>
                <w:sz w:val="20"/>
                <w:szCs w:val="20"/>
              </w:rPr>
              <w:t xml:space="preserve"> </w:t>
            </w:r>
            <w:r>
              <w:rPr>
                <w:rFonts w:ascii="Arial" w:hAnsi="Arial" w:cs="Arial"/>
                <w:sz w:val="20"/>
                <w:szCs w:val="20"/>
              </w:rPr>
              <w:t>9.19</w:t>
            </w:r>
          </w:p>
        </w:tc>
      </w:tr>
    </w:tbl>
    <w:p w:rsidR="001B39B6" w:rsidRDefault="001B39B6" w:rsidP="00120667">
      <w:pPr>
        <w:tabs>
          <w:tab w:val="left" w:pos="-1440"/>
        </w:tabs>
        <w:jc w:val="both"/>
        <w:rPr>
          <w:rFonts w:ascii="Arial" w:hAnsi="Arial" w:cs="Arial"/>
          <w:sz w:val="21"/>
          <w:szCs w:val="21"/>
        </w:rPr>
      </w:pPr>
    </w:p>
    <w:p w:rsidR="00C17E24" w:rsidRPr="001B39B6" w:rsidRDefault="00120667" w:rsidP="001B39B6">
      <w:pPr>
        <w:tabs>
          <w:tab w:val="left" w:pos="-1440"/>
        </w:tabs>
        <w:jc w:val="both"/>
        <w:rPr>
          <w:rFonts w:ascii="Arial" w:hAnsi="Arial" w:cs="Arial"/>
          <w:sz w:val="20"/>
          <w:szCs w:val="20"/>
        </w:rPr>
      </w:pPr>
      <w:r w:rsidRPr="00FA7947">
        <w:rPr>
          <w:rFonts w:ascii="Arial" w:hAnsi="Arial" w:cs="Arial"/>
          <w:sz w:val="18"/>
          <w:szCs w:val="18"/>
        </w:rPr>
        <w:t xml:space="preserve"> For the Balcom Fund</w:t>
      </w:r>
      <w:r w:rsidR="00637210">
        <w:rPr>
          <w:rFonts w:ascii="Arial" w:hAnsi="Arial" w:cs="Arial"/>
          <w:sz w:val="18"/>
          <w:szCs w:val="18"/>
        </w:rPr>
        <w:t xml:space="preserve"> net</w:t>
      </w:r>
      <w:r w:rsidRPr="00FA7947">
        <w:rPr>
          <w:rFonts w:ascii="Arial" w:hAnsi="Arial" w:cs="Arial"/>
          <w:sz w:val="18"/>
          <w:szCs w:val="18"/>
        </w:rPr>
        <w:t xml:space="preserve"> total return is shown</w:t>
      </w:r>
      <w:r w:rsidR="000D49FF">
        <w:rPr>
          <w:rFonts w:ascii="Arial" w:hAnsi="Arial" w:cs="Arial"/>
          <w:sz w:val="18"/>
          <w:szCs w:val="18"/>
        </w:rPr>
        <w:t xml:space="preserve">, </w:t>
      </w:r>
      <w:r w:rsidR="00B71628">
        <w:rPr>
          <w:rFonts w:ascii="Arial" w:hAnsi="Arial" w:cs="Arial"/>
          <w:sz w:val="18"/>
          <w:szCs w:val="18"/>
        </w:rPr>
        <w:t>and does not include the now required five percent distribution of principal</w:t>
      </w:r>
      <w:r>
        <w:rPr>
          <w:rFonts w:ascii="Arial" w:hAnsi="Arial" w:cs="Arial"/>
          <w:sz w:val="20"/>
          <w:szCs w:val="20"/>
        </w:rPr>
        <w:t>.</w:t>
      </w:r>
      <w:r w:rsidR="00EC69C4">
        <w:rPr>
          <w:rFonts w:ascii="Arial" w:hAnsi="Arial" w:cs="Arial"/>
          <w:sz w:val="20"/>
          <w:szCs w:val="20"/>
        </w:rPr>
        <w:t xml:space="preserve">  The figures for each year are computed by adding the net income received to the net capital gain or loss, and dividing by the value at the beginning of the year</w:t>
      </w:r>
      <w:r w:rsidR="003D1BCF">
        <w:rPr>
          <w:rFonts w:ascii="Arial" w:hAnsi="Arial" w:cs="Arial"/>
          <w:sz w:val="20"/>
          <w:szCs w:val="20"/>
        </w:rPr>
        <w:t xml:space="preserve">.  These figures are then averaged over five and ten year periods.  This allows all three accounts to be compared on the same basis.  We do also </w:t>
      </w:r>
      <w:r w:rsidR="003D1BCF" w:rsidRPr="001B39B6">
        <w:rPr>
          <w:rFonts w:ascii="Arial" w:hAnsi="Arial" w:cs="Arial"/>
          <w:sz w:val="20"/>
          <w:szCs w:val="20"/>
        </w:rPr>
        <w:t xml:space="preserve">have a time-weighted </w:t>
      </w:r>
      <w:r w:rsidR="00AE73FB" w:rsidRPr="001B39B6">
        <w:rPr>
          <w:rFonts w:ascii="Arial" w:hAnsi="Arial" w:cs="Arial"/>
          <w:sz w:val="20"/>
          <w:szCs w:val="20"/>
        </w:rPr>
        <w:t>figure for the Church/Cemetery Funds only, and this is shown on the last page.</w:t>
      </w:r>
    </w:p>
    <w:p w:rsidR="00120667" w:rsidRPr="001B39B6" w:rsidRDefault="00120667" w:rsidP="00120667">
      <w:pPr>
        <w:tabs>
          <w:tab w:val="left" w:pos="-1440"/>
        </w:tabs>
        <w:jc w:val="both"/>
        <w:rPr>
          <w:rFonts w:ascii="Arial" w:hAnsi="Arial" w:cs="Arial"/>
          <w:sz w:val="20"/>
          <w:szCs w:val="20"/>
        </w:rPr>
      </w:pPr>
    </w:p>
    <w:p w:rsidR="00120667" w:rsidRDefault="00120667" w:rsidP="00120667">
      <w:pPr>
        <w:tabs>
          <w:tab w:val="left" w:pos="-1440"/>
        </w:tabs>
        <w:jc w:val="both"/>
        <w:rPr>
          <w:rFonts w:ascii="Arial" w:hAnsi="Arial" w:cs="Arial"/>
          <w:sz w:val="20"/>
          <w:szCs w:val="20"/>
        </w:rPr>
        <w:sectPr w:rsidR="00120667" w:rsidSect="00D17D84">
          <w:footerReference w:type="default" r:id="rId7"/>
          <w:type w:val="continuous"/>
          <w:pgSz w:w="12240" w:h="15840" w:code="1"/>
          <w:pgMar w:top="1440" w:right="1440" w:bottom="1886" w:left="1440" w:header="2160" w:footer="2160" w:gutter="0"/>
          <w:paperSrc w:first="259" w:other="259"/>
          <w:cols w:space="720"/>
          <w:noEndnote/>
        </w:sectPr>
      </w:pPr>
    </w:p>
    <w:p w:rsidR="00120667" w:rsidRDefault="00120667" w:rsidP="00120667">
      <w:pPr>
        <w:tabs>
          <w:tab w:val="left" w:pos="-1440"/>
        </w:tabs>
        <w:jc w:val="both"/>
        <w:rPr>
          <w:rFonts w:ascii="Arial" w:hAnsi="Arial" w:cs="Arial"/>
          <w:sz w:val="20"/>
          <w:szCs w:val="20"/>
        </w:rPr>
      </w:pPr>
      <w:r>
        <w:rPr>
          <w:rFonts w:ascii="Arial" w:hAnsi="Arial" w:cs="Arial"/>
          <w:sz w:val="20"/>
          <w:szCs w:val="20"/>
        </w:rPr>
        <w:lastRenderedPageBreak/>
        <w:t xml:space="preserve">As previously mentioned, the </w:t>
      </w:r>
      <w:r w:rsidR="00B71628">
        <w:rPr>
          <w:rFonts w:ascii="Arial" w:hAnsi="Arial" w:cs="Arial"/>
          <w:sz w:val="20"/>
          <w:szCs w:val="20"/>
        </w:rPr>
        <w:t>last</w:t>
      </w:r>
      <w:r>
        <w:rPr>
          <w:rFonts w:ascii="Arial" w:hAnsi="Arial" w:cs="Arial"/>
          <w:sz w:val="20"/>
          <w:szCs w:val="20"/>
        </w:rPr>
        <w:t xml:space="preserve"> page shows the performance record of these accounts for the past fiscal year and also shows for the same period the change in value of the commonly followed Dow Jones Industrial Average and S &amp; P 500 stock average, and as a measure of annual inflation, the Consumer Price Index.  </w:t>
      </w:r>
    </w:p>
    <w:p w:rsidR="00DC085B" w:rsidRDefault="00DC085B">
      <w:pPr>
        <w:tabs>
          <w:tab w:val="left" w:pos="-1440"/>
        </w:tabs>
        <w:jc w:val="both"/>
        <w:rPr>
          <w:rFonts w:ascii="Arial" w:hAnsi="Arial" w:cs="Arial"/>
          <w:sz w:val="20"/>
          <w:szCs w:val="20"/>
        </w:rPr>
      </w:pPr>
    </w:p>
    <w:p w:rsidR="00DC085B" w:rsidRDefault="00DC085B">
      <w:pPr>
        <w:tabs>
          <w:tab w:val="left" w:pos="-1440"/>
        </w:tabs>
        <w:jc w:val="both"/>
        <w:rPr>
          <w:rFonts w:ascii="Arial" w:hAnsi="Arial" w:cs="Arial"/>
          <w:sz w:val="20"/>
          <w:szCs w:val="20"/>
        </w:rPr>
      </w:pPr>
    </w:p>
    <w:p w:rsidR="00B73711" w:rsidRPr="00B73711" w:rsidRDefault="00B73711">
      <w:pPr>
        <w:tabs>
          <w:tab w:val="left" w:pos="-1440"/>
        </w:tabs>
        <w:jc w:val="both"/>
        <w:rPr>
          <w:rFonts w:ascii="Arial" w:hAnsi="Arial" w:cs="Arial"/>
          <w:sz w:val="20"/>
          <w:szCs w:val="20"/>
          <w:u w:val="single"/>
        </w:rPr>
      </w:pPr>
      <w:r w:rsidRPr="00B73711">
        <w:rPr>
          <w:rFonts w:ascii="Arial" w:hAnsi="Arial" w:cs="Arial"/>
          <w:sz w:val="20"/>
          <w:szCs w:val="20"/>
          <w:u w:val="single"/>
        </w:rPr>
        <w:t>CONCLUSION</w:t>
      </w:r>
    </w:p>
    <w:p w:rsidR="000D49FF" w:rsidRDefault="00DC085B" w:rsidP="000D49FF">
      <w:pPr>
        <w:tabs>
          <w:tab w:val="left" w:pos="-1440"/>
        </w:tabs>
        <w:jc w:val="both"/>
        <w:rPr>
          <w:rFonts w:ascii="Arial" w:hAnsi="Arial" w:cs="Arial"/>
          <w:sz w:val="20"/>
          <w:szCs w:val="20"/>
        </w:rPr>
      </w:pPr>
      <w:r>
        <w:rPr>
          <w:rFonts w:ascii="Arial" w:hAnsi="Arial" w:cs="Arial"/>
          <w:sz w:val="20"/>
          <w:szCs w:val="20"/>
        </w:rPr>
        <w:t xml:space="preserve">It is important for each member of the Church to recognize that while the </w:t>
      </w:r>
      <w:r w:rsidR="00EC0832">
        <w:rPr>
          <w:rFonts w:ascii="Arial" w:hAnsi="Arial" w:cs="Arial"/>
          <w:sz w:val="20"/>
          <w:szCs w:val="20"/>
        </w:rPr>
        <w:t>endowment can</w:t>
      </w:r>
      <w:r>
        <w:rPr>
          <w:rFonts w:ascii="Arial" w:hAnsi="Arial" w:cs="Arial"/>
          <w:sz w:val="20"/>
          <w:szCs w:val="20"/>
        </w:rPr>
        <w:t xml:space="preserve"> be counted on to provide substantial support for our budget, we must remember that our primary source of funding has to be the annual contributions of the Church members.  By making our own individual contributions we become a constituency which is more invested in our </w:t>
      </w:r>
      <w:r w:rsidRPr="002E37D8">
        <w:rPr>
          <w:rFonts w:ascii="Arial" w:hAnsi="Arial" w:cs="Arial"/>
          <w:sz w:val="20"/>
          <w:szCs w:val="20"/>
        </w:rPr>
        <w:t>institution and its programs than if we stand on the sidelines and wait for others to pick u</w:t>
      </w:r>
      <w:r w:rsidR="00517322">
        <w:rPr>
          <w:rFonts w:ascii="Arial" w:hAnsi="Arial" w:cs="Arial"/>
          <w:sz w:val="20"/>
          <w:szCs w:val="20"/>
        </w:rPr>
        <w:t xml:space="preserve">p the tab. </w:t>
      </w:r>
    </w:p>
    <w:p w:rsidR="00F260EF" w:rsidRDefault="00F260EF" w:rsidP="000D49FF">
      <w:pPr>
        <w:tabs>
          <w:tab w:val="left" w:pos="-1440"/>
        </w:tabs>
        <w:jc w:val="both"/>
        <w:rPr>
          <w:rFonts w:ascii="Arial" w:hAnsi="Arial" w:cs="Arial"/>
          <w:sz w:val="20"/>
          <w:szCs w:val="20"/>
        </w:rPr>
      </w:pPr>
    </w:p>
    <w:p w:rsidR="00DC085B" w:rsidRDefault="00DC085B">
      <w:pPr>
        <w:tabs>
          <w:tab w:val="left" w:pos="-1440"/>
        </w:tabs>
        <w:jc w:val="both"/>
        <w:rPr>
          <w:rFonts w:ascii="Arial" w:hAnsi="Arial" w:cs="Arial"/>
          <w:sz w:val="20"/>
          <w:szCs w:val="20"/>
        </w:rPr>
      </w:pPr>
      <w:r>
        <w:rPr>
          <w:rFonts w:ascii="Arial" w:hAnsi="Arial" w:cs="Arial"/>
          <w:sz w:val="20"/>
          <w:szCs w:val="20"/>
        </w:rPr>
        <w:t>Respectfully Submitted,</w:t>
      </w:r>
    </w:p>
    <w:p w:rsidR="001B39B6" w:rsidRDefault="001B39B6">
      <w:pPr>
        <w:tabs>
          <w:tab w:val="left" w:pos="-1440"/>
        </w:tabs>
        <w:jc w:val="both"/>
        <w:rPr>
          <w:rFonts w:ascii="Arial" w:hAnsi="Arial" w:cs="Arial"/>
          <w:sz w:val="20"/>
          <w:szCs w:val="20"/>
        </w:rPr>
      </w:pPr>
    </w:p>
    <w:p w:rsidR="001B39B6" w:rsidRDefault="00DC085B" w:rsidP="001B39B6">
      <w:pPr>
        <w:tabs>
          <w:tab w:val="left" w:pos="-1440"/>
        </w:tabs>
        <w:jc w:val="both"/>
        <w:rPr>
          <w:rFonts w:ascii="Arial" w:hAnsi="Arial" w:cs="Arial"/>
          <w:b/>
          <w:bCs/>
          <w:sz w:val="20"/>
          <w:szCs w:val="20"/>
        </w:rPr>
      </w:pPr>
      <w:r>
        <w:rPr>
          <w:rFonts w:ascii="Arial" w:hAnsi="Arial" w:cs="Arial"/>
          <w:b/>
          <w:bCs/>
          <w:sz w:val="20"/>
          <w:szCs w:val="20"/>
        </w:rPr>
        <w:t>Investment Review Committee</w:t>
      </w:r>
    </w:p>
    <w:p w:rsidR="00DC085B" w:rsidRPr="009A589F" w:rsidRDefault="004513F4" w:rsidP="001B39B6">
      <w:pPr>
        <w:tabs>
          <w:tab w:val="left" w:pos="-1440"/>
        </w:tabs>
        <w:jc w:val="both"/>
        <w:rPr>
          <w:rFonts w:ascii="Arial" w:hAnsi="Arial" w:cs="Arial"/>
          <w:sz w:val="20"/>
          <w:szCs w:val="20"/>
        </w:rPr>
      </w:pPr>
      <w:r w:rsidRPr="009A589F">
        <w:rPr>
          <w:rFonts w:ascii="Arial" w:hAnsi="Arial" w:cs="Arial"/>
          <w:sz w:val="20"/>
          <w:szCs w:val="20"/>
        </w:rPr>
        <w:t xml:space="preserve"> Former Treasurer Jon Lasselle, Treasurer of the Cemetery Association Russ Leonard, Joan Connacher, June Haskell, Kathy Grossman, Mike Balla</w:t>
      </w:r>
      <w:r w:rsidR="00974EAE">
        <w:rPr>
          <w:rFonts w:ascii="Arial" w:hAnsi="Arial" w:cs="Arial"/>
          <w:sz w:val="20"/>
          <w:szCs w:val="20"/>
        </w:rPr>
        <w:t>ntine, Steve Ladew</w:t>
      </w:r>
      <w:bookmarkStart w:id="0" w:name="_GoBack"/>
      <w:bookmarkEnd w:id="0"/>
      <w:r w:rsidRPr="009A589F">
        <w:rPr>
          <w:rFonts w:ascii="Arial" w:hAnsi="Arial" w:cs="Arial"/>
          <w:sz w:val="20"/>
          <w:szCs w:val="20"/>
        </w:rPr>
        <w:t xml:space="preserve"> and I make up the Committee. President Harry Purkhiser has attended all our meetings.</w:t>
      </w:r>
    </w:p>
    <w:p w:rsidR="00DC085B" w:rsidRDefault="00DC085B">
      <w:pPr>
        <w:tabs>
          <w:tab w:val="left" w:pos="-1440"/>
        </w:tabs>
        <w:jc w:val="both"/>
        <w:rPr>
          <w:rFonts w:ascii="Arial" w:hAnsi="Arial" w:cs="Arial"/>
          <w:sz w:val="20"/>
          <w:szCs w:val="20"/>
        </w:rPr>
      </w:pPr>
    </w:p>
    <w:p w:rsidR="00DC085B" w:rsidRDefault="00DC085B">
      <w:pPr>
        <w:tabs>
          <w:tab w:val="left" w:pos="-1440"/>
        </w:tabs>
        <w:jc w:val="both"/>
        <w:rPr>
          <w:rFonts w:ascii="Arial" w:hAnsi="Arial" w:cs="Arial"/>
          <w:sz w:val="20"/>
          <w:szCs w:val="20"/>
        </w:rPr>
      </w:pPr>
      <w:r>
        <w:rPr>
          <w:rFonts w:ascii="Arial" w:hAnsi="Arial" w:cs="Arial"/>
          <w:sz w:val="20"/>
          <w:szCs w:val="20"/>
        </w:rPr>
        <w:t>Robert G. Sampson, Chairman</w:t>
      </w:r>
    </w:p>
    <w:p w:rsidR="00DC085B" w:rsidRDefault="00DC085B">
      <w:pPr>
        <w:tabs>
          <w:tab w:val="left" w:pos="-1440"/>
        </w:tabs>
        <w:jc w:val="both"/>
        <w:rPr>
          <w:rFonts w:ascii="Arial" w:hAnsi="Arial" w:cs="Arial"/>
          <w:sz w:val="20"/>
          <w:szCs w:val="20"/>
        </w:rPr>
      </w:pPr>
    </w:p>
    <w:p w:rsidR="00DC085B" w:rsidRDefault="00DC085B">
      <w:pPr>
        <w:tabs>
          <w:tab w:val="left" w:pos="-1440"/>
        </w:tabs>
        <w:jc w:val="both"/>
        <w:rPr>
          <w:rFonts w:ascii="Arial" w:hAnsi="Arial" w:cs="Arial"/>
          <w:sz w:val="20"/>
          <w:szCs w:val="20"/>
        </w:rPr>
      </w:pPr>
    </w:p>
    <w:p w:rsidR="00DC085B" w:rsidRDefault="00DC085B">
      <w:pPr>
        <w:tabs>
          <w:tab w:val="left" w:pos="-1440"/>
        </w:tabs>
        <w:jc w:val="both"/>
        <w:rPr>
          <w:rFonts w:ascii="Arial" w:hAnsi="Arial" w:cs="Arial"/>
          <w:sz w:val="20"/>
          <w:szCs w:val="20"/>
        </w:rPr>
      </w:pPr>
    </w:p>
    <w:sectPr w:rsidR="00DC085B" w:rsidSect="00AF5A0D">
      <w:type w:val="continuous"/>
      <w:pgSz w:w="12240" w:h="15840" w:code="1"/>
      <w:pgMar w:top="2160" w:right="1440" w:bottom="2160" w:left="1440" w:header="2160" w:footer="2160" w:gutter="0"/>
      <w:paperSrc w:first="1" w:other="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0E" w:rsidRDefault="0017080E">
      <w:r>
        <w:separator/>
      </w:r>
    </w:p>
  </w:endnote>
  <w:endnote w:type="continuationSeparator" w:id="0">
    <w:p w:rsidR="0017080E" w:rsidRDefault="0017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QuickTyp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67" w:rsidRDefault="008B263D" w:rsidP="00F640B5">
    <w:pPr>
      <w:pStyle w:val="Footer"/>
      <w:framePr w:wrap="auto" w:vAnchor="text" w:hAnchor="margin" w:xAlign="center" w:y="1"/>
      <w:rPr>
        <w:rStyle w:val="PageNumber"/>
        <w:sz w:val="20"/>
        <w:szCs w:val="20"/>
      </w:rPr>
    </w:pPr>
    <w:r>
      <w:rPr>
        <w:rStyle w:val="PageNumber"/>
        <w:sz w:val="20"/>
        <w:szCs w:val="20"/>
      </w:rPr>
      <w:fldChar w:fldCharType="begin"/>
    </w:r>
    <w:r w:rsidR="00120667">
      <w:rPr>
        <w:rStyle w:val="PageNumber"/>
        <w:sz w:val="20"/>
        <w:szCs w:val="20"/>
      </w:rPr>
      <w:instrText xml:space="preserve">PAGE  </w:instrText>
    </w:r>
    <w:r>
      <w:rPr>
        <w:rStyle w:val="PageNumber"/>
        <w:sz w:val="20"/>
        <w:szCs w:val="20"/>
      </w:rPr>
      <w:fldChar w:fldCharType="separate"/>
    </w:r>
    <w:r w:rsidR="00974EAE">
      <w:rPr>
        <w:rStyle w:val="PageNumber"/>
        <w:noProof/>
        <w:sz w:val="20"/>
        <w:szCs w:val="20"/>
      </w:rPr>
      <w:t>3</w:t>
    </w:r>
    <w:r>
      <w:rPr>
        <w:rStyle w:val="PageNumber"/>
        <w:sz w:val="20"/>
        <w:szCs w:val="20"/>
      </w:rPr>
      <w:fldChar w:fldCharType="end"/>
    </w:r>
  </w:p>
  <w:p w:rsidR="00120667" w:rsidRDefault="00120667">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0E" w:rsidRDefault="0017080E">
      <w:r>
        <w:separator/>
      </w:r>
    </w:p>
  </w:footnote>
  <w:footnote w:type="continuationSeparator" w:id="0">
    <w:p w:rsidR="0017080E" w:rsidRDefault="0017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B7"/>
    <w:rsid w:val="00001322"/>
    <w:rsid w:val="0001208A"/>
    <w:rsid w:val="00012ED4"/>
    <w:rsid w:val="00013F40"/>
    <w:rsid w:val="000263B1"/>
    <w:rsid w:val="00044B7A"/>
    <w:rsid w:val="0004770B"/>
    <w:rsid w:val="00075229"/>
    <w:rsid w:val="000864A0"/>
    <w:rsid w:val="000B1002"/>
    <w:rsid w:val="000B16FA"/>
    <w:rsid w:val="000C73EB"/>
    <w:rsid w:val="000D49FF"/>
    <w:rsid w:val="000F0487"/>
    <w:rsid w:val="000F0C6D"/>
    <w:rsid w:val="000F5E06"/>
    <w:rsid w:val="00103E23"/>
    <w:rsid w:val="00110F32"/>
    <w:rsid w:val="00112E2E"/>
    <w:rsid w:val="0011310D"/>
    <w:rsid w:val="001151CC"/>
    <w:rsid w:val="00120667"/>
    <w:rsid w:val="00130F08"/>
    <w:rsid w:val="0015420E"/>
    <w:rsid w:val="00163A50"/>
    <w:rsid w:val="0017080E"/>
    <w:rsid w:val="001722EC"/>
    <w:rsid w:val="00173C19"/>
    <w:rsid w:val="00174049"/>
    <w:rsid w:val="00176A23"/>
    <w:rsid w:val="0018322C"/>
    <w:rsid w:val="001844A1"/>
    <w:rsid w:val="00184D6B"/>
    <w:rsid w:val="00187DB3"/>
    <w:rsid w:val="001A00DE"/>
    <w:rsid w:val="001A7328"/>
    <w:rsid w:val="001B2DB7"/>
    <w:rsid w:val="001B39B6"/>
    <w:rsid w:val="001B4396"/>
    <w:rsid w:val="001E1ABD"/>
    <w:rsid w:val="001F27BE"/>
    <w:rsid w:val="00213D21"/>
    <w:rsid w:val="00216D3B"/>
    <w:rsid w:val="0022409D"/>
    <w:rsid w:val="002322D4"/>
    <w:rsid w:val="00236806"/>
    <w:rsid w:val="00237BB1"/>
    <w:rsid w:val="002571A4"/>
    <w:rsid w:val="00265383"/>
    <w:rsid w:val="00265629"/>
    <w:rsid w:val="002741F0"/>
    <w:rsid w:val="002762E8"/>
    <w:rsid w:val="0028599E"/>
    <w:rsid w:val="00291BC7"/>
    <w:rsid w:val="00295919"/>
    <w:rsid w:val="00296DB6"/>
    <w:rsid w:val="002A37CA"/>
    <w:rsid w:val="002A4920"/>
    <w:rsid w:val="002A68C5"/>
    <w:rsid w:val="002A7FEB"/>
    <w:rsid w:val="002C0227"/>
    <w:rsid w:val="002E0072"/>
    <w:rsid w:val="002E360C"/>
    <w:rsid w:val="002E37D8"/>
    <w:rsid w:val="002E3AFF"/>
    <w:rsid w:val="002E71FD"/>
    <w:rsid w:val="002E772C"/>
    <w:rsid w:val="002E77CC"/>
    <w:rsid w:val="0030548A"/>
    <w:rsid w:val="00312346"/>
    <w:rsid w:val="00322C34"/>
    <w:rsid w:val="00327F25"/>
    <w:rsid w:val="00331383"/>
    <w:rsid w:val="00336775"/>
    <w:rsid w:val="00341D4B"/>
    <w:rsid w:val="003524B4"/>
    <w:rsid w:val="003540DD"/>
    <w:rsid w:val="003560BB"/>
    <w:rsid w:val="00371997"/>
    <w:rsid w:val="00374A03"/>
    <w:rsid w:val="003A2B12"/>
    <w:rsid w:val="003A2E25"/>
    <w:rsid w:val="003B0BDF"/>
    <w:rsid w:val="003D0470"/>
    <w:rsid w:val="003D1BCF"/>
    <w:rsid w:val="003D44B7"/>
    <w:rsid w:val="003F0D9F"/>
    <w:rsid w:val="003F4E03"/>
    <w:rsid w:val="00401EA1"/>
    <w:rsid w:val="00407955"/>
    <w:rsid w:val="00422CBA"/>
    <w:rsid w:val="004231CA"/>
    <w:rsid w:val="00427511"/>
    <w:rsid w:val="00435E58"/>
    <w:rsid w:val="00435F25"/>
    <w:rsid w:val="00436F9C"/>
    <w:rsid w:val="00437F31"/>
    <w:rsid w:val="00443C22"/>
    <w:rsid w:val="004513F4"/>
    <w:rsid w:val="00454917"/>
    <w:rsid w:val="004635AE"/>
    <w:rsid w:val="0048357F"/>
    <w:rsid w:val="00485BC3"/>
    <w:rsid w:val="004934B4"/>
    <w:rsid w:val="0049651D"/>
    <w:rsid w:val="004A1E71"/>
    <w:rsid w:val="004B57F4"/>
    <w:rsid w:val="004B6B7D"/>
    <w:rsid w:val="004C161E"/>
    <w:rsid w:val="004C286A"/>
    <w:rsid w:val="004C4152"/>
    <w:rsid w:val="004F4AE9"/>
    <w:rsid w:val="00500F3E"/>
    <w:rsid w:val="0050469F"/>
    <w:rsid w:val="00505B99"/>
    <w:rsid w:val="0051272C"/>
    <w:rsid w:val="00514023"/>
    <w:rsid w:val="00517322"/>
    <w:rsid w:val="005332F4"/>
    <w:rsid w:val="0053393A"/>
    <w:rsid w:val="005461E7"/>
    <w:rsid w:val="00546B5F"/>
    <w:rsid w:val="00553848"/>
    <w:rsid w:val="005700B7"/>
    <w:rsid w:val="00572049"/>
    <w:rsid w:val="005743FF"/>
    <w:rsid w:val="00594E5B"/>
    <w:rsid w:val="00596557"/>
    <w:rsid w:val="005A46D1"/>
    <w:rsid w:val="005A60D8"/>
    <w:rsid w:val="005B1D36"/>
    <w:rsid w:val="005C0C6A"/>
    <w:rsid w:val="005C6527"/>
    <w:rsid w:val="005D5AD0"/>
    <w:rsid w:val="005D6209"/>
    <w:rsid w:val="005D6A25"/>
    <w:rsid w:val="005E0631"/>
    <w:rsid w:val="005F31E9"/>
    <w:rsid w:val="005F6868"/>
    <w:rsid w:val="006142C6"/>
    <w:rsid w:val="006172E2"/>
    <w:rsid w:val="00624F37"/>
    <w:rsid w:val="006269B2"/>
    <w:rsid w:val="00627875"/>
    <w:rsid w:val="0063634E"/>
    <w:rsid w:val="00637210"/>
    <w:rsid w:val="00641CAB"/>
    <w:rsid w:val="00646E9D"/>
    <w:rsid w:val="00651678"/>
    <w:rsid w:val="006619C6"/>
    <w:rsid w:val="00666809"/>
    <w:rsid w:val="00672E93"/>
    <w:rsid w:val="00676AB1"/>
    <w:rsid w:val="006831BD"/>
    <w:rsid w:val="00684DD3"/>
    <w:rsid w:val="006927FE"/>
    <w:rsid w:val="006B02B1"/>
    <w:rsid w:val="006D6886"/>
    <w:rsid w:val="006E59CD"/>
    <w:rsid w:val="006F7EA2"/>
    <w:rsid w:val="006F7F80"/>
    <w:rsid w:val="00713843"/>
    <w:rsid w:val="00727857"/>
    <w:rsid w:val="007502AA"/>
    <w:rsid w:val="007531EA"/>
    <w:rsid w:val="007638B8"/>
    <w:rsid w:val="00764E40"/>
    <w:rsid w:val="00765CD5"/>
    <w:rsid w:val="00766D44"/>
    <w:rsid w:val="00767D54"/>
    <w:rsid w:val="00775224"/>
    <w:rsid w:val="00775ACE"/>
    <w:rsid w:val="00775B20"/>
    <w:rsid w:val="00777A87"/>
    <w:rsid w:val="00795039"/>
    <w:rsid w:val="00796FBC"/>
    <w:rsid w:val="007A6DFD"/>
    <w:rsid w:val="007A7F56"/>
    <w:rsid w:val="007F4C37"/>
    <w:rsid w:val="008044A3"/>
    <w:rsid w:val="00810C30"/>
    <w:rsid w:val="00812EA7"/>
    <w:rsid w:val="00813204"/>
    <w:rsid w:val="00817437"/>
    <w:rsid w:val="00820176"/>
    <w:rsid w:val="008228D1"/>
    <w:rsid w:val="008249F2"/>
    <w:rsid w:val="008317B0"/>
    <w:rsid w:val="00843EF8"/>
    <w:rsid w:val="00854668"/>
    <w:rsid w:val="008567C6"/>
    <w:rsid w:val="00857575"/>
    <w:rsid w:val="00863FCA"/>
    <w:rsid w:val="00866F0C"/>
    <w:rsid w:val="00871A80"/>
    <w:rsid w:val="00872436"/>
    <w:rsid w:val="00875A56"/>
    <w:rsid w:val="00884AC3"/>
    <w:rsid w:val="00893809"/>
    <w:rsid w:val="008A4ACE"/>
    <w:rsid w:val="008A70DD"/>
    <w:rsid w:val="008B263D"/>
    <w:rsid w:val="008B5C27"/>
    <w:rsid w:val="008C58B3"/>
    <w:rsid w:val="008D5A3B"/>
    <w:rsid w:val="008F05DA"/>
    <w:rsid w:val="008F20F7"/>
    <w:rsid w:val="00914182"/>
    <w:rsid w:val="009270BE"/>
    <w:rsid w:val="00927C42"/>
    <w:rsid w:val="0093309A"/>
    <w:rsid w:val="00943B2C"/>
    <w:rsid w:val="009517D1"/>
    <w:rsid w:val="00957F9C"/>
    <w:rsid w:val="00974858"/>
    <w:rsid w:val="00974B10"/>
    <w:rsid w:val="00974EAE"/>
    <w:rsid w:val="0097529B"/>
    <w:rsid w:val="009A0DEE"/>
    <w:rsid w:val="009A2107"/>
    <w:rsid w:val="009A589F"/>
    <w:rsid w:val="009C2734"/>
    <w:rsid w:val="009C4569"/>
    <w:rsid w:val="009D2A7D"/>
    <w:rsid w:val="009D2DB2"/>
    <w:rsid w:val="009D3B35"/>
    <w:rsid w:val="009D51B0"/>
    <w:rsid w:val="009E21BB"/>
    <w:rsid w:val="009F04D7"/>
    <w:rsid w:val="009F3BA6"/>
    <w:rsid w:val="00A06025"/>
    <w:rsid w:val="00A11C54"/>
    <w:rsid w:val="00A2189D"/>
    <w:rsid w:val="00A30F86"/>
    <w:rsid w:val="00A35A92"/>
    <w:rsid w:val="00A40964"/>
    <w:rsid w:val="00A42212"/>
    <w:rsid w:val="00A45CA3"/>
    <w:rsid w:val="00A5560E"/>
    <w:rsid w:val="00A55618"/>
    <w:rsid w:val="00A60FD7"/>
    <w:rsid w:val="00A7197B"/>
    <w:rsid w:val="00A76879"/>
    <w:rsid w:val="00A777EF"/>
    <w:rsid w:val="00A81ABB"/>
    <w:rsid w:val="00A86042"/>
    <w:rsid w:val="00AA291E"/>
    <w:rsid w:val="00AA43EC"/>
    <w:rsid w:val="00AA7630"/>
    <w:rsid w:val="00AB02F2"/>
    <w:rsid w:val="00AB0DAD"/>
    <w:rsid w:val="00AB1E35"/>
    <w:rsid w:val="00AB1F49"/>
    <w:rsid w:val="00AB46DE"/>
    <w:rsid w:val="00AB6A19"/>
    <w:rsid w:val="00AB7CD5"/>
    <w:rsid w:val="00AC51E4"/>
    <w:rsid w:val="00AD7BE7"/>
    <w:rsid w:val="00AE14F1"/>
    <w:rsid w:val="00AE73FB"/>
    <w:rsid w:val="00AF587A"/>
    <w:rsid w:val="00AF5A0D"/>
    <w:rsid w:val="00B016B8"/>
    <w:rsid w:val="00B12CA2"/>
    <w:rsid w:val="00B25FF4"/>
    <w:rsid w:val="00B271BE"/>
    <w:rsid w:val="00B347F0"/>
    <w:rsid w:val="00B43DDE"/>
    <w:rsid w:val="00B47164"/>
    <w:rsid w:val="00B57885"/>
    <w:rsid w:val="00B602A6"/>
    <w:rsid w:val="00B71628"/>
    <w:rsid w:val="00B73711"/>
    <w:rsid w:val="00BA114F"/>
    <w:rsid w:val="00BA70AD"/>
    <w:rsid w:val="00BB29E3"/>
    <w:rsid w:val="00BB3790"/>
    <w:rsid w:val="00BD60C8"/>
    <w:rsid w:val="00BE0D21"/>
    <w:rsid w:val="00BE4E44"/>
    <w:rsid w:val="00BE594D"/>
    <w:rsid w:val="00BF1B4F"/>
    <w:rsid w:val="00BF29B7"/>
    <w:rsid w:val="00C01DE5"/>
    <w:rsid w:val="00C035D4"/>
    <w:rsid w:val="00C03FFD"/>
    <w:rsid w:val="00C04950"/>
    <w:rsid w:val="00C07372"/>
    <w:rsid w:val="00C1603D"/>
    <w:rsid w:val="00C179E7"/>
    <w:rsid w:val="00C17E24"/>
    <w:rsid w:val="00C32575"/>
    <w:rsid w:val="00C359E7"/>
    <w:rsid w:val="00C373F1"/>
    <w:rsid w:val="00C63A7D"/>
    <w:rsid w:val="00C73854"/>
    <w:rsid w:val="00C822D4"/>
    <w:rsid w:val="00C82AF8"/>
    <w:rsid w:val="00C948FA"/>
    <w:rsid w:val="00C953DC"/>
    <w:rsid w:val="00C9731C"/>
    <w:rsid w:val="00CC3B86"/>
    <w:rsid w:val="00CC69AA"/>
    <w:rsid w:val="00CC6F74"/>
    <w:rsid w:val="00CC7328"/>
    <w:rsid w:val="00CD7841"/>
    <w:rsid w:val="00CE0CE1"/>
    <w:rsid w:val="00CE5EA6"/>
    <w:rsid w:val="00D02501"/>
    <w:rsid w:val="00D1561E"/>
    <w:rsid w:val="00D17B38"/>
    <w:rsid w:val="00D22527"/>
    <w:rsid w:val="00D26FB6"/>
    <w:rsid w:val="00D3052D"/>
    <w:rsid w:val="00D32C82"/>
    <w:rsid w:val="00D34F5A"/>
    <w:rsid w:val="00D36F39"/>
    <w:rsid w:val="00D37E07"/>
    <w:rsid w:val="00D401BE"/>
    <w:rsid w:val="00D42336"/>
    <w:rsid w:val="00D42D47"/>
    <w:rsid w:val="00D61F76"/>
    <w:rsid w:val="00D75969"/>
    <w:rsid w:val="00D7597F"/>
    <w:rsid w:val="00D80F4D"/>
    <w:rsid w:val="00D810FB"/>
    <w:rsid w:val="00D812B4"/>
    <w:rsid w:val="00D90173"/>
    <w:rsid w:val="00D94A64"/>
    <w:rsid w:val="00DA41A9"/>
    <w:rsid w:val="00DB1EAE"/>
    <w:rsid w:val="00DB2F4A"/>
    <w:rsid w:val="00DB4E68"/>
    <w:rsid w:val="00DB5A48"/>
    <w:rsid w:val="00DC085B"/>
    <w:rsid w:val="00DC5080"/>
    <w:rsid w:val="00DD1450"/>
    <w:rsid w:val="00DD2634"/>
    <w:rsid w:val="00DD352B"/>
    <w:rsid w:val="00DD47C2"/>
    <w:rsid w:val="00DD56AC"/>
    <w:rsid w:val="00DE1DA9"/>
    <w:rsid w:val="00DE3E9A"/>
    <w:rsid w:val="00DF2FD7"/>
    <w:rsid w:val="00DF3631"/>
    <w:rsid w:val="00DF537E"/>
    <w:rsid w:val="00DF7F66"/>
    <w:rsid w:val="00E031D5"/>
    <w:rsid w:val="00E211AA"/>
    <w:rsid w:val="00E4265A"/>
    <w:rsid w:val="00E64DC3"/>
    <w:rsid w:val="00E6529E"/>
    <w:rsid w:val="00E65A5B"/>
    <w:rsid w:val="00E83CFF"/>
    <w:rsid w:val="00E958A9"/>
    <w:rsid w:val="00E97D94"/>
    <w:rsid w:val="00EA3F32"/>
    <w:rsid w:val="00EA6C5A"/>
    <w:rsid w:val="00EB47CB"/>
    <w:rsid w:val="00EB4C40"/>
    <w:rsid w:val="00EB4F4E"/>
    <w:rsid w:val="00EC0832"/>
    <w:rsid w:val="00EC69C4"/>
    <w:rsid w:val="00ED15E4"/>
    <w:rsid w:val="00ED52D2"/>
    <w:rsid w:val="00EE000D"/>
    <w:rsid w:val="00EE411F"/>
    <w:rsid w:val="00EE4F82"/>
    <w:rsid w:val="00EE5AA3"/>
    <w:rsid w:val="00EE78B6"/>
    <w:rsid w:val="00EF121F"/>
    <w:rsid w:val="00F00A16"/>
    <w:rsid w:val="00F1274A"/>
    <w:rsid w:val="00F260EF"/>
    <w:rsid w:val="00F35CF4"/>
    <w:rsid w:val="00F36CE7"/>
    <w:rsid w:val="00F407E5"/>
    <w:rsid w:val="00F51720"/>
    <w:rsid w:val="00F569FC"/>
    <w:rsid w:val="00F57DB4"/>
    <w:rsid w:val="00F61AB9"/>
    <w:rsid w:val="00F623F4"/>
    <w:rsid w:val="00F63A9D"/>
    <w:rsid w:val="00F640B5"/>
    <w:rsid w:val="00F647FE"/>
    <w:rsid w:val="00F82995"/>
    <w:rsid w:val="00F91AF5"/>
    <w:rsid w:val="00F92D6B"/>
    <w:rsid w:val="00F93FC3"/>
    <w:rsid w:val="00F96DA5"/>
    <w:rsid w:val="00FA2772"/>
    <w:rsid w:val="00FA7724"/>
    <w:rsid w:val="00FA7947"/>
    <w:rsid w:val="00FC043B"/>
    <w:rsid w:val="00FC5A2E"/>
    <w:rsid w:val="00FC61E3"/>
    <w:rsid w:val="00FD11E0"/>
    <w:rsid w:val="00FD5667"/>
    <w:rsid w:val="00FD7BE5"/>
    <w:rsid w:val="00FE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3D"/>
    <w:pPr>
      <w:widowControl w:val="0"/>
      <w:autoSpaceDE w:val="0"/>
      <w:autoSpaceDN w:val="0"/>
      <w:spacing w:after="0" w:line="240" w:lineRule="auto"/>
    </w:pPr>
    <w:rPr>
      <w:rFonts w:ascii="QuickType" w:hAnsi="QuickType" w:cs="QuickType"/>
      <w:sz w:val="24"/>
      <w:szCs w:val="24"/>
    </w:rPr>
  </w:style>
  <w:style w:type="paragraph" w:styleId="Heading1">
    <w:name w:val="heading 1"/>
    <w:basedOn w:val="Normal"/>
    <w:next w:val="Normal"/>
    <w:link w:val="Heading1Char"/>
    <w:uiPriority w:val="99"/>
    <w:qFormat/>
    <w:rsid w:val="00C1603D"/>
    <w:pPr>
      <w:keepNext/>
      <w:jc w:val="both"/>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603D"/>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C1603D"/>
    <w:rPr>
      <w:rFonts w:cs="Times New Roman"/>
    </w:rPr>
  </w:style>
  <w:style w:type="paragraph" w:styleId="BodyText">
    <w:name w:val="Body Text"/>
    <w:basedOn w:val="Normal"/>
    <w:link w:val="BodyTextChar"/>
    <w:uiPriority w:val="99"/>
    <w:rsid w:val="00C1603D"/>
    <w:pPr>
      <w:tabs>
        <w:tab w:val="left" w:pos="-1440"/>
      </w:tabs>
      <w:jc w:val="both"/>
    </w:pPr>
    <w:rPr>
      <w:rFonts w:ascii="Arial" w:hAnsi="Arial" w:cs="Arial"/>
    </w:rPr>
  </w:style>
  <w:style w:type="character" w:customStyle="1" w:styleId="BodyTextChar">
    <w:name w:val="Body Text Char"/>
    <w:basedOn w:val="DefaultParagraphFont"/>
    <w:link w:val="BodyText"/>
    <w:uiPriority w:val="99"/>
    <w:semiHidden/>
    <w:locked/>
    <w:rsid w:val="00C1603D"/>
    <w:rPr>
      <w:rFonts w:ascii="QuickType" w:hAnsi="QuickType" w:cs="QuickType"/>
      <w:sz w:val="24"/>
      <w:szCs w:val="24"/>
    </w:rPr>
  </w:style>
  <w:style w:type="paragraph" w:styleId="BodyText2">
    <w:name w:val="Body Text 2"/>
    <w:basedOn w:val="Normal"/>
    <w:link w:val="BodyText2Char"/>
    <w:uiPriority w:val="99"/>
    <w:rsid w:val="00C1603D"/>
    <w:pPr>
      <w:jc w:val="both"/>
    </w:pPr>
    <w:rPr>
      <w:rFonts w:ascii="Arial" w:hAnsi="Arial" w:cs="Arial"/>
      <w:sz w:val="20"/>
      <w:szCs w:val="20"/>
    </w:rPr>
  </w:style>
  <w:style w:type="character" w:customStyle="1" w:styleId="BodyText2Char">
    <w:name w:val="Body Text 2 Char"/>
    <w:basedOn w:val="DefaultParagraphFont"/>
    <w:link w:val="BodyText2"/>
    <w:uiPriority w:val="99"/>
    <w:locked/>
    <w:rsid w:val="00C1603D"/>
    <w:rPr>
      <w:rFonts w:ascii="QuickType" w:hAnsi="QuickType" w:cs="QuickType"/>
      <w:sz w:val="24"/>
      <w:szCs w:val="24"/>
    </w:rPr>
  </w:style>
  <w:style w:type="paragraph" w:styleId="Footer">
    <w:name w:val="footer"/>
    <w:basedOn w:val="Normal"/>
    <w:link w:val="FooterChar"/>
    <w:uiPriority w:val="99"/>
    <w:rsid w:val="00C1603D"/>
    <w:pPr>
      <w:tabs>
        <w:tab w:val="center" w:pos="4320"/>
        <w:tab w:val="right" w:pos="8640"/>
      </w:tabs>
    </w:pPr>
  </w:style>
  <w:style w:type="character" w:customStyle="1" w:styleId="FooterChar">
    <w:name w:val="Footer Char"/>
    <w:basedOn w:val="DefaultParagraphFont"/>
    <w:link w:val="Footer"/>
    <w:uiPriority w:val="99"/>
    <w:locked/>
    <w:rsid w:val="00C1603D"/>
    <w:rPr>
      <w:rFonts w:ascii="QuickType" w:hAnsi="QuickType" w:cs="QuickType"/>
      <w:sz w:val="24"/>
      <w:szCs w:val="24"/>
    </w:rPr>
  </w:style>
  <w:style w:type="character" w:styleId="PageNumber">
    <w:name w:val="page number"/>
    <w:basedOn w:val="DefaultParagraphFont"/>
    <w:uiPriority w:val="99"/>
    <w:rsid w:val="00C1603D"/>
    <w:rPr>
      <w:rFonts w:cs="Times New Roman"/>
    </w:rPr>
  </w:style>
  <w:style w:type="paragraph" w:styleId="Header">
    <w:name w:val="header"/>
    <w:basedOn w:val="Normal"/>
    <w:link w:val="HeaderChar"/>
    <w:uiPriority w:val="99"/>
    <w:rsid w:val="00C1603D"/>
    <w:pPr>
      <w:tabs>
        <w:tab w:val="center" w:pos="4320"/>
        <w:tab w:val="right" w:pos="8640"/>
      </w:tabs>
    </w:pPr>
  </w:style>
  <w:style w:type="character" w:customStyle="1" w:styleId="HeaderChar">
    <w:name w:val="Header Char"/>
    <w:basedOn w:val="DefaultParagraphFont"/>
    <w:link w:val="Header"/>
    <w:uiPriority w:val="99"/>
    <w:semiHidden/>
    <w:locked/>
    <w:rsid w:val="00C1603D"/>
    <w:rPr>
      <w:rFonts w:ascii="QuickType" w:hAnsi="QuickType" w:cs="QuickType"/>
      <w:sz w:val="24"/>
      <w:szCs w:val="24"/>
    </w:rPr>
  </w:style>
  <w:style w:type="paragraph" w:styleId="BalloonText">
    <w:name w:val="Balloon Text"/>
    <w:basedOn w:val="Normal"/>
    <w:link w:val="BalloonTextChar"/>
    <w:uiPriority w:val="99"/>
    <w:semiHidden/>
    <w:rsid w:val="005D6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3D"/>
    <w:rPr>
      <w:rFonts w:ascii="Tahoma" w:hAnsi="Tahoma" w:cs="Tahoma"/>
      <w:sz w:val="16"/>
      <w:szCs w:val="16"/>
    </w:rPr>
  </w:style>
  <w:style w:type="table" w:styleId="LightList">
    <w:name w:val="Light List"/>
    <w:basedOn w:val="TableNormal"/>
    <w:uiPriority w:val="61"/>
    <w:rsid w:val="00D759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C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3D"/>
    <w:pPr>
      <w:widowControl w:val="0"/>
      <w:autoSpaceDE w:val="0"/>
      <w:autoSpaceDN w:val="0"/>
      <w:spacing w:after="0" w:line="240" w:lineRule="auto"/>
    </w:pPr>
    <w:rPr>
      <w:rFonts w:ascii="QuickType" w:hAnsi="QuickType" w:cs="QuickType"/>
      <w:sz w:val="24"/>
      <w:szCs w:val="24"/>
    </w:rPr>
  </w:style>
  <w:style w:type="paragraph" w:styleId="Heading1">
    <w:name w:val="heading 1"/>
    <w:basedOn w:val="Normal"/>
    <w:next w:val="Normal"/>
    <w:link w:val="Heading1Char"/>
    <w:uiPriority w:val="99"/>
    <w:qFormat/>
    <w:rsid w:val="00C1603D"/>
    <w:pPr>
      <w:keepNext/>
      <w:jc w:val="both"/>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603D"/>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C1603D"/>
    <w:rPr>
      <w:rFonts w:cs="Times New Roman"/>
    </w:rPr>
  </w:style>
  <w:style w:type="paragraph" w:styleId="BodyText">
    <w:name w:val="Body Text"/>
    <w:basedOn w:val="Normal"/>
    <w:link w:val="BodyTextChar"/>
    <w:uiPriority w:val="99"/>
    <w:rsid w:val="00C1603D"/>
    <w:pPr>
      <w:tabs>
        <w:tab w:val="left" w:pos="-1440"/>
      </w:tabs>
      <w:jc w:val="both"/>
    </w:pPr>
    <w:rPr>
      <w:rFonts w:ascii="Arial" w:hAnsi="Arial" w:cs="Arial"/>
    </w:rPr>
  </w:style>
  <w:style w:type="character" w:customStyle="1" w:styleId="BodyTextChar">
    <w:name w:val="Body Text Char"/>
    <w:basedOn w:val="DefaultParagraphFont"/>
    <w:link w:val="BodyText"/>
    <w:uiPriority w:val="99"/>
    <w:semiHidden/>
    <w:locked/>
    <w:rsid w:val="00C1603D"/>
    <w:rPr>
      <w:rFonts w:ascii="QuickType" w:hAnsi="QuickType" w:cs="QuickType"/>
      <w:sz w:val="24"/>
      <w:szCs w:val="24"/>
    </w:rPr>
  </w:style>
  <w:style w:type="paragraph" w:styleId="BodyText2">
    <w:name w:val="Body Text 2"/>
    <w:basedOn w:val="Normal"/>
    <w:link w:val="BodyText2Char"/>
    <w:uiPriority w:val="99"/>
    <w:rsid w:val="00C1603D"/>
    <w:pPr>
      <w:jc w:val="both"/>
    </w:pPr>
    <w:rPr>
      <w:rFonts w:ascii="Arial" w:hAnsi="Arial" w:cs="Arial"/>
      <w:sz w:val="20"/>
      <w:szCs w:val="20"/>
    </w:rPr>
  </w:style>
  <w:style w:type="character" w:customStyle="1" w:styleId="BodyText2Char">
    <w:name w:val="Body Text 2 Char"/>
    <w:basedOn w:val="DefaultParagraphFont"/>
    <w:link w:val="BodyText2"/>
    <w:uiPriority w:val="99"/>
    <w:locked/>
    <w:rsid w:val="00C1603D"/>
    <w:rPr>
      <w:rFonts w:ascii="QuickType" w:hAnsi="QuickType" w:cs="QuickType"/>
      <w:sz w:val="24"/>
      <w:szCs w:val="24"/>
    </w:rPr>
  </w:style>
  <w:style w:type="paragraph" w:styleId="Footer">
    <w:name w:val="footer"/>
    <w:basedOn w:val="Normal"/>
    <w:link w:val="FooterChar"/>
    <w:uiPriority w:val="99"/>
    <w:rsid w:val="00C1603D"/>
    <w:pPr>
      <w:tabs>
        <w:tab w:val="center" w:pos="4320"/>
        <w:tab w:val="right" w:pos="8640"/>
      </w:tabs>
    </w:pPr>
  </w:style>
  <w:style w:type="character" w:customStyle="1" w:styleId="FooterChar">
    <w:name w:val="Footer Char"/>
    <w:basedOn w:val="DefaultParagraphFont"/>
    <w:link w:val="Footer"/>
    <w:uiPriority w:val="99"/>
    <w:locked/>
    <w:rsid w:val="00C1603D"/>
    <w:rPr>
      <w:rFonts w:ascii="QuickType" w:hAnsi="QuickType" w:cs="QuickType"/>
      <w:sz w:val="24"/>
      <w:szCs w:val="24"/>
    </w:rPr>
  </w:style>
  <w:style w:type="character" w:styleId="PageNumber">
    <w:name w:val="page number"/>
    <w:basedOn w:val="DefaultParagraphFont"/>
    <w:uiPriority w:val="99"/>
    <w:rsid w:val="00C1603D"/>
    <w:rPr>
      <w:rFonts w:cs="Times New Roman"/>
    </w:rPr>
  </w:style>
  <w:style w:type="paragraph" w:styleId="Header">
    <w:name w:val="header"/>
    <w:basedOn w:val="Normal"/>
    <w:link w:val="HeaderChar"/>
    <w:uiPriority w:val="99"/>
    <w:rsid w:val="00C1603D"/>
    <w:pPr>
      <w:tabs>
        <w:tab w:val="center" w:pos="4320"/>
        <w:tab w:val="right" w:pos="8640"/>
      </w:tabs>
    </w:pPr>
  </w:style>
  <w:style w:type="character" w:customStyle="1" w:styleId="HeaderChar">
    <w:name w:val="Header Char"/>
    <w:basedOn w:val="DefaultParagraphFont"/>
    <w:link w:val="Header"/>
    <w:uiPriority w:val="99"/>
    <w:semiHidden/>
    <w:locked/>
    <w:rsid w:val="00C1603D"/>
    <w:rPr>
      <w:rFonts w:ascii="QuickType" w:hAnsi="QuickType" w:cs="QuickType"/>
      <w:sz w:val="24"/>
      <w:szCs w:val="24"/>
    </w:rPr>
  </w:style>
  <w:style w:type="paragraph" w:styleId="BalloonText">
    <w:name w:val="Balloon Text"/>
    <w:basedOn w:val="Normal"/>
    <w:link w:val="BalloonTextChar"/>
    <w:uiPriority w:val="99"/>
    <w:semiHidden/>
    <w:rsid w:val="005D6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3D"/>
    <w:rPr>
      <w:rFonts w:ascii="Tahoma" w:hAnsi="Tahoma" w:cs="Tahoma"/>
      <w:sz w:val="16"/>
      <w:szCs w:val="16"/>
    </w:rPr>
  </w:style>
  <w:style w:type="table" w:styleId="LightList">
    <w:name w:val="Light List"/>
    <w:basedOn w:val="TableNormal"/>
    <w:uiPriority w:val="61"/>
    <w:rsid w:val="00D759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C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Unitarian-Universalist Church of Nashua, New Hampshire</vt:lpstr>
    </vt:vector>
  </TitlesOfParts>
  <Company>Hewlett-Packard Company</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Unitarian-Universalist Church of Nashua, New Hampshire</dc:title>
  <dc:creator>Robert G. Sampson</dc:creator>
  <cp:lastModifiedBy>RGS</cp:lastModifiedBy>
  <cp:revision>14</cp:revision>
  <cp:lastPrinted>2014-06-11T15:17:00Z</cp:lastPrinted>
  <dcterms:created xsi:type="dcterms:W3CDTF">2015-05-28T15:54:00Z</dcterms:created>
  <dcterms:modified xsi:type="dcterms:W3CDTF">2015-06-02T01:17:00Z</dcterms:modified>
</cp:coreProperties>
</file>