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F" w:rsidRDefault="008F54B7" w:rsidP="008F54B7">
      <w:pPr>
        <w:jc w:val="center"/>
      </w:pPr>
      <w:r>
        <w:t>INVESTED FUNDS COMMITTEE</w:t>
      </w:r>
    </w:p>
    <w:p w:rsidR="000A1B08" w:rsidRDefault="008F54B7" w:rsidP="008F54B7">
      <w:pPr>
        <w:jc w:val="center"/>
      </w:pPr>
      <w:r>
        <w:t>ANNUAL REPORT for JUNE 2019</w:t>
      </w:r>
    </w:p>
    <w:p w:rsidR="00941502" w:rsidRDefault="000A1B08" w:rsidP="00AF3694">
      <w:r>
        <w:t>It has been a busy year for the Invested Funds Committee as we</w:t>
      </w:r>
      <w:r w:rsidR="00AF3694">
        <w:t xml:space="preserve"> educated ourselves about more Socially R</w:t>
      </w:r>
      <w:r>
        <w:t xml:space="preserve">esponsible </w:t>
      </w:r>
      <w:r w:rsidR="00AF3694">
        <w:t>I</w:t>
      </w:r>
      <w:r>
        <w:t>nvestments</w:t>
      </w:r>
      <w:r w:rsidR="00AF3694">
        <w:t xml:space="preserve"> (SRI)</w:t>
      </w:r>
      <w:r>
        <w:t xml:space="preserve">. This is not our first foray into this </w:t>
      </w:r>
      <w:r w:rsidR="00084325">
        <w:t>area</w:t>
      </w:r>
      <w:r w:rsidR="008D6B21">
        <w:t xml:space="preserve"> but we wanted to be more intentional in line with UU values</w:t>
      </w:r>
      <w:r>
        <w:t xml:space="preserve">. </w:t>
      </w:r>
      <w:r w:rsidR="00AF3694">
        <w:t xml:space="preserve">A brief history of our past socially responsible investing follows this report. </w:t>
      </w:r>
      <w:r w:rsidR="008F54B7">
        <w:t xml:space="preserve">We also have an obligation to be responsible stewards of the endowment so performance is </w:t>
      </w:r>
      <w:r w:rsidR="00941502">
        <w:t xml:space="preserve">very </w:t>
      </w:r>
      <w:r w:rsidR="008F54B7">
        <w:t>important.</w:t>
      </w:r>
      <w:r w:rsidR="003A6163">
        <w:t xml:space="preserve"> Our endowment provides approximately 1/3 of the churches operating budget.</w:t>
      </w:r>
      <w:r w:rsidR="00F35AF6">
        <w:t xml:space="preserve"> We presently take 4.5% of a balanced return. This does not provide for much growth of the portfolio with inflation. Our goal is to gradually decrease to 4% in order to continue to provide for future needs.</w:t>
      </w:r>
    </w:p>
    <w:p w:rsidR="00AF3694" w:rsidRDefault="00941502">
      <w:r>
        <w:t>In</w:t>
      </w:r>
      <w:r w:rsidR="00AF3694">
        <w:t xml:space="preserve"> </w:t>
      </w:r>
      <w:r>
        <w:t>the beginning of 2018</w:t>
      </w:r>
      <w:r w:rsidR="00AF3694">
        <w:t>, 12 t</w:t>
      </w:r>
      <w:r>
        <w:t>o 13% of our investments were considered</w:t>
      </w:r>
      <w:r w:rsidR="00AF3694">
        <w:t xml:space="preserve"> </w:t>
      </w:r>
      <w:r>
        <w:t xml:space="preserve">socially responsible. </w:t>
      </w:r>
      <w:r w:rsidR="00AF3694">
        <w:t xml:space="preserve">We asked our advisors at Bank of America Wealth to see what options were available </w:t>
      </w:r>
      <w:r w:rsidR="00E07C9A">
        <w:t>to increase this</w:t>
      </w:r>
      <w:r>
        <w:t>. T</w:t>
      </w:r>
      <w:r w:rsidR="00AF3694">
        <w:t xml:space="preserve">hey </w:t>
      </w:r>
      <w:r>
        <w:t>p</w:t>
      </w:r>
      <w:r w:rsidR="00AF3694">
        <w:t xml:space="preserve">roposed a number of </w:t>
      </w:r>
      <w:r>
        <w:t xml:space="preserve">possibilities. We researched these looking for a balance of good performance, reasonable fees and diversification. After much discussion, we agreed to several options including increasing our allocation </w:t>
      </w:r>
      <w:r w:rsidR="00570F6E">
        <w:t xml:space="preserve">to </w:t>
      </w:r>
      <w:r w:rsidR="007D3812">
        <w:t>the NH C</w:t>
      </w:r>
      <w:bookmarkStart w:id="0" w:name="_GoBack"/>
      <w:bookmarkEnd w:id="0"/>
      <w:r>
        <w:t xml:space="preserve">ommunity Loan Fund </w:t>
      </w:r>
      <w:r w:rsidR="00776C6A">
        <w:t xml:space="preserve">in </w:t>
      </w:r>
      <w:r>
        <w:t>wh</w:t>
      </w:r>
      <w:r w:rsidR="00776C6A">
        <w:t>ich we had already invested.</w:t>
      </w:r>
    </w:p>
    <w:p w:rsidR="00776C6A" w:rsidRPr="00570F6E" w:rsidRDefault="00776C6A">
      <w:pPr>
        <w:rPr>
          <w:b/>
        </w:rPr>
      </w:pPr>
      <w:r w:rsidRPr="00570F6E">
        <w:rPr>
          <w:b/>
        </w:rPr>
        <w:t xml:space="preserve">As of April 30, 2019 our </w:t>
      </w:r>
      <w:r w:rsidR="003E285D" w:rsidRPr="00570F6E">
        <w:rPr>
          <w:b/>
        </w:rPr>
        <w:t xml:space="preserve">intentionally </w:t>
      </w:r>
      <w:r w:rsidRPr="00570F6E">
        <w:rPr>
          <w:b/>
        </w:rPr>
        <w:t xml:space="preserve">socially responsible investments have increased </w:t>
      </w:r>
      <w:r w:rsidR="00570F6E" w:rsidRPr="00570F6E">
        <w:rPr>
          <w:b/>
        </w:rPr>
        <w:t xml:space="preserve">from 12% </w:t>
      </w:r>
      <w:r w:rsidRPr="00570F6E">
        <w:rPr>
          <w:b/>
        </w:rPr>
        <w:t xml:space="preserve">to </w:t>
      </w:r>
      <w:r w:rsidR="003E285D" w:rsidRPr="00570F6E">
        <w:rPr>
          <w:b/>
        </w:rPr>
        <w:t>46% of the portfolio.</w:t>
      </w:r>
    </w:p>
    <w:p w:rsidR="000A1B08" w:rsidRDefault="003F69C4">
      <w:r>
        <w:t xml:space="preserve">Our goal is to </w:t>
      </w:r>
      <w:r w:rsidR="002516EB">
        <w:t xml:space="preserve">increase our socially responsible allocation </w:t>
      </w:r>
      <w:r w:rsidR="00E07C9A">
        <w:t xml:space="preserve">in </w:t>
      </w:r>
      <w:r w:rsidR="003E285D">
        <w:t>small, mid cap and international investments</w:t>
      </w:r>
      <w:r w:rsidR="002516EB">
        <w:t xml:space="preserve"> as opportunities become available. </w:t>
      </w:r>
      <w:r w:rsidR="003E285D">
        <w:t xml:space="preserve">At present, these areas do not offer the </w:t>
      </w:r>
      <w:r w:rsidR="00E07C9A">
        <w:t xml:space="preserve">balance of performance and safety we seek. </w:t>
      </w:r>
      <w:r w:rsidR="002516EB">
        <w:t>We continue to monitor the portfolio</w:t>
      </w:r>
      <w:r w:rsidR="005050B3">
        <w:t xml:space="preserve"> </w:t>
      </w:r>
      <w:r w:rsidR="002516EB">
        <w:t>for performance.</w:t>
      </w:r>
    </w:p>
    <w:p w:rsidR="002516EB" w:rsidRDefault="002516EB">
      <w:r>
        <w:t xml:space="preserve">We also instituted term limits for members and plan to add new members. </w:t>
      </w:r>
      <w:r w:rsidR="00421927">
        <w:t xml:space="preserve">We meet quarterly with our Bank of America advisors and </w:t>
      </w:r>
      <w:r w:rsidR="002F4F26">
        <w:t xml:space="preserve">at </w:t>
      </w:r>
      <w:r w:rsidR="00421927">
        <w:t>other times as needed. Our meetings are open to visitors</w:t>
      </w:r>
    </w:p>
    <w:p w:rsidR="002516EB" w:rsidRDefault="002516EB">
      <w:r>
        <w:t xml:space="preserve">Current </w:t>
      </w:r>
      <w:r w:rsidR="00E07C9A">
        <w:t xml:space="preserve">voting </w:t>
      </w:r>
      <w:r>
        <w:t>members are:</w:t>
      </w:r>
    </w:p>
    <w:p w:rsidR="002516EB" w:rsidRDefault="002516EB">
      <w:r>
        <w:t>Joan Connacher – Chair</w:t>
      </w:r>
      <w:r w:rsidR="00E07C9A">
        <w:tab/>
      </w:r>
      <w:r w:rsidR="00E07C9A">
        <w:tab/>
      </w:r>
      <w:r w:rsidR="00E07C9A">
        <w:tab/>
      </w:r>
      <w:r w:rsidR="00E07C9A">
        <w:tab/>
      </w:r>
      <w:r w:rsidR="00BB10D8">
        <w:t>June Haskell</w:t>
      </w:r>
    </w:p>
    <w:p w:rsidR="002516EB" w:rsidRDefault="002516EB">
      <w:r>
        <w:t xml:space="preserve">Steve Ladew – Clerk </w:t>
      </w:r>
      <w:r w:rsidR="00E07C9A">
        <w:tab/>
      </w:r>
      <w:r w:rsidR="00E07C9A">
        <w:tab/>
      </w:r>
      <w:r w:rsidR="00E07C9A">
        <w:tab/>
      </w:r>
      <w:r w:rsidR="00E07C9A">
        <w:tab/>
      </w:r>
      <w:r w:rsidR="00BB10D8">
        <w:t>Jon Lasselle</w:t>
      </w:r>
    </w:p>
    <w:p w:rsidR="00421927" w:rsidRDefault="00421927">
      <w:r>
        <w:t>Kevin Murray – Cemetery Treasurer</w:t>
      </w:r>
      <w:r w:rsidR="00E07C9A">
        <w:tab/>
      </w:r>
      <w:r w:rsidR="00E07C9A">
        <w:tab/>
      </w:r>
      <w:r w:rsidR="00BB10D8">
        <w:t>Bob Sampson</w:t>
      </w:r>
    </w:p>
    <w:p w:rsidR="00E07C9A" w:rsidRDefault="00BB10D8" w:rsidP="00E07C9A">
      <w:r>
        <w:t xml:space="preserve">Kathy Grossman </w:t>
      </w:r>
      <w:r w:rsidR="00E07C9A">
        <w:tab/>
      </w:r>
      <w:r w:rsidR="00E07C9A">
        <w:tab/>
      </w:r>
      <w:r w:rsidR="00E07C9A">
        <w:tab/>
      </w:r>
      <w:r w:rsidR="00E07C9A">
        <w:tab/>
        <w:t xml:space="preserve"> </w:t>
      </w:r>
    </w:p>
    <w:p w:rsidR="00421927" w:rsidRDefault="00BB10D8">
      <w:r>
        <w:t>Other</w:t>
      </w:r>
      <w:r w:rsidR="00421927">
        <w:t xml:space="preserve"> attendees </w:t>
      </w:r>
      <w:r>
        <w:t>have been</w:t>
      </w:r>
      <w:r w:rsidR="00421927">
        <w:t>:</w:t>
      </w:r>
    </w:p>
    <w:p w:rsidR="00421927" w:rsidRDefault="00421927">
      <w:r>
        <w:t xml:space="preserve">Lindsey Hedrick, Treasurer; Allison Palm, Minister; and Carol Houde, President </w:t>
      </w:r>
    </w:p>
    <w:p w:rsidR="00E07C9A" w:rsidRDefault="00E07C9A">
      <w:r>
        <w:t xml:space="preserve">Special thanks go to Steve Ladew for his dedication to recording our meetings and keeping me on the straight and narrow. He is leaving the committee in June. </w:t>
      </w:r>
    </w:p>
    <w:p w:rsidR="00E07C9A" w:rsidRDefault="00E07C9A">
      <w:r>
        <w:t>Sincerely, Joan Connacher</w:t>
      </w:r>
    </w:p>
    <w:p w:rsidR="00CF5570" w:rsidRDefault="00CF5570" w:rsidP="00CF5570">
      <w:pPr>
        <w:jc w:val="center"/>
      </w:pPr>
      <w:r>
        <w:lastRenderedPageBreak/>
        <w:t xml:space="preserve">A BRIEF HISTORY OF </w:t>
      </w:r>
      <w:r w:rsidR="00F35AF6">
        <w:t xml:space="preserve">OUR </w:t>
      </w:r>
      <w:r>
        <w:t>SOCIALLY RESPONSIBLE INVESTING</w:t>
      </w:r>
    </w:p>
    <w:p w:rsidR="00AF3694" w:rsidRDefault="002F4F26">
      <w:r>
        <w:t>The Invested Funds Committee</w:t>
      </w:r>
      <w:r w:rsidR="00CF5570">
        <w:t xml:space="preserve"> started</w:t>
      </w:r>
      <w:r w:rsidR="00BB10D8">
        <w:t xml:space="preserve"> social</w:t>
      </w:r>
      <w:r w:rsidR="002C19A4">
        <w:t>ly responsible investing</w:t>
      </w:r>
      <w:r w:rsidR="003A6163">
        <w:t xml:space="preserve"> years ago when we</w:t>
      </w:r>
      <w:r w:rsidR="00BB10D8">
        <w:t xml:space="preserve"> </w:t>
      </w:r>
      <w:r w:rsidR="002C19A4">
        <w:t>told</w:t>
      </w:r>
      <w:r w:rsidR="00BB10D8">
        <w:t xml:space="preserve"> our advisors not to invest in </w:t>
      </w:r>
      <w:r w:rsidR="00CF5570">
        <w:t xml:space="preserve">companies dealing in </w:t>
      </w:r>
      <w:r w:rsidR="00BB10D8">
        <w:t>tobacco, gambling</w:t>
      </w:r>
      <w:r w:rsidR="00CF5570">
        <w:t xml:space="preserve"> and spirits – the so-called “sin” stocks. This is considered investing by exclusion. </w:t>
      </w:r>
      <w:r>
        <w:t>Several years ago</w:t>
      </w:r>
      <w:r w:rsidR="00CF5570">
        <w:t>, it became impossible to continue investing in individual stocks</w:t>
      </w:r>
      <w:r w:rsidR="00981079">
        <w:t xml:space="preserve"> because of the relatively small size of the endowment</w:t>
      </w:r>
      <w:r w:rsidR="00CF5570">
        <w:t xml:space="preserve">. We transitioned to mutual funds and could not control what companies </w:t>
      </w:r>
      <w:r w:rsidR="002C19A4">
        <w:t>were in these funds.</w:t>
      </w:r>
      <w:r w:rsidR="00981079">
        <w:t xml:space="preserve"> Socially responsible investing </w:t>
      </w:r>
      <w:r w:rsidR="00F35AF6">
        <w:t>has had a history of</w:t>
      </w:r>
      <w:r w:rsidR="00981079">
        <w:t xml:space="preserve"> lower returns in the past. That perception </w:t>
      </w:r>
      <w:r w:rsidR="00F35AF6">
        <w:t>is now</w:t>
      </w:r>
      <w:r w:rsidR="00981079">
        <w:t xml:space="preserve"> changing.</w:t>
      </w:r>
    </w:p>
    <w:p w:rsidR="00CF71B7" w:rsidRDefault="00981079" w:rsidP="00AF3694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t>We began</w:t>
      </w:r>
      <w:r w:rsidR="002C19A4">
        <w:t xml:space="preserve"> investing in </w:t>
      </w:r>
      <w:r w:rsidR="00AF3694">
        <w:t xml:space="preserve">the NH Community Loan Fund over 10 years ago. This </w:t>
      </w:r>
      <w:r w:rsidR="002C19A4">
        <w:t>is a non-profit</w:t>
      </w:r>
      <w:r w:rsidR="00AF3694">
        <w:t xml:space="preserve"> </w:t>
      </w:r>
      <w:r w:rsidR="002C19A4">
        <w:t>organization that provides l</w:t>
      </w:r>
      <w:r w:rsidR="00AF3694">
        <w:t>oans to low income N</w:t>
      </w:r>
      <w:r w:rsidR="002C19A4">
        <w:t>ew</w:t>
      </w:r>
      <w:r w:rsidR="00AF3694">
        <w:t xml:space="preserve"> H</w:t>
      </w:r>
      <w:r w:rsidR="002C19A4">
        <w:t>ampshire</w:t>
      </w:r>
      <w:r w:rsidR="00AF3694">
        <w:t xml:space="preserve"> individuals </w:t>
      </w:r>
      <w:r w:rsidR="002C19A4">
        <w:t xml:space="preserve">and groups </w:t>
      </w:r>
      <w:r w:rsidR="00AF3694">
        <w:t xml:space="preserve">to help buy the mobile home parks they live in as well as </w:t>
      </w:r>
      <w:r w:rsidR="003A6163">
        <w:t xml:space="preserve">supporting </w:t>
      </w:r>
      <w:r w:rsidR="00AF3694">
        <w:t>small businesses</w:t>
      </w:r>
      <w:r w:rsidR="002F4F26">
        <w:t xml:space="preserve"> </w:t>
      </w:r>
      <w:r w:rsidR="003A6163">
        <w:t>and</w:t>
      </w:r>
      <w:r w:rsidR="002F4F26">
        <w:t xml:space="preserve"> other causes</w:t>
      </w:r>
      <w:r w:rsidR="00AF3694">
        <w:t xml:space="preserve">. Our next investment was 5 years ago with a new socially responsible stock offering from the Bank of America called S2I. </w:t>
      </w:r>
      <w:r w:rsidR="002C19A4">
        <w:t xml:space="preserve">This fund is made up of companies that are </w:t>
      </w:r>
      <w:r w:rsidR="00A42D99">
        <w:t xml:space="preserve">selected by an inclusion process which looks at their rating on environmental, social and governance </w:t>
      </w:r>
      <w:r w:rsidR="003A138B">
        <w:t xml:space="preserve">(ESG) </w:t>
      </w:r>
      <w:r w:rsidR="00A42D99">
        <w:t>criteria</w:t>
      </w:r>
      <w:r w:rsidR="00CF71B7">
        <w:t>.</w:t>
      </w:r>
      <w:r w:rsidR="00CF71B7" w:rsidRPr="00CF71B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CF71B7" w:rsidRPr="00CF71B7" w:rsidRDefault="00CF71B7" w:rsidP="00AF3694">
      <w:pPr>
        <w:rPr>
          <w:sz w:val="20"/>
          <w:szCs w:val="20"/>
        </w:rPr>
      </w:pPr>
      <w:r w:rsidRPr="00CF71B7">
        <w:rPr>
          <w:rFonts w:ascii="Arial" w:hAnsi="Arial" w:cs="Arial"/>
          <w:color w:val="111111"/>
          <w:sz w:val="20"/>
          <w:szCs w:val="20"/>
          <w:shd w:val="clear" w:color="auto" w:fill="FFFFFF"/>
        </w:rPr>
        <w:t>Environmental, social and governance (ESG) criteria are a set of standards for a company’s operations that socially conscious investors use to screen potential investments. Environmental criteria consider how a company performs as a steward of nature. Social criteria examine how it manages relationships with employees, suppliers, customers, and the communities where it operates. Governance deals with a company’s leadership, executive pay, audits, internal controls and shareholder rights.</w:t>
      </w:r>
    </w:p>
    <w:p w:rsidR="00AF3694" w:rsidRDefault="00AF3694" w:rsidP="00AF3694">
      <w:r>
        <w:t xml:space="preserve">Both investments have </w:t>
      </w:r>
      <w:r w:rsidR="002C19A4">
        <w:t xml:space="preserve">performed </w:t>
      </w:r>
      <w:r>
        <w:t xml:space="preserve">as well or better than our comparable investments over the past few years. </w:t>
      </w:r>
      <w:r w:rsidR="002C19A4">
        <w:t xml:space="preserve">We were not satisfied with the 12% </w:t>
      </w:r>
      <w:r w:rsidR="00711F32">
        <w:t xml:space="preserve">as we looked for options. At the present time, in a diversified portfolio, we now have all of our large cap stocks and most of our fixed income investments in socially responsible or ESG. Our allocation to mid-cap, small-cap, international and emerging markets remain in mutual funds and index exchange traded funds because alternatives had poorer performance and/or high fees. We will </w:t>
      </w:r>
      <w:r w:rsidR="003A138B">
        <w:t xml:space="preserve">continue to </w:t>
      </w:r>
      <w:r w:rsidR="00711F32">
        <w:t xml:space="preserve">explore options as ESG investing </w:t>
      </w:r>
      <w:r w:rsidR="003A138B">
        <w:t xml:space="preserve">increases in popularity. “Doing well by doing good” is being shown to lead to more successful companies.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0F6E" w:rsidTr="00570F6E">
        <w:tc>
          <w:tcPr>
            <w:tcW w:w="2394" w:type="dxa"/>
          </w:tcPr>
          <w:p w:rsidR="00570F6E" w:rsidRDefault="00570F6E" w:rsidP="00AF3694">
            <w:r>
              <w:t>Custodian</w:t>
            </w:r>
          </w:p>
        </w:tc>
        <w:tc>
          <w:tcPr>
            <w:tcW w:w="2394" w:type="dxa"/>
          </w:tcPr>
          <w:p w:rsidR="00570F6E" w:rsidRDefault="00570F6E" w:rsidP="00AF3694">
            <w:r>
              <w:t>March/April 2019</w:t>
            </w:r>
          </w:p>
        </w:tc>
        <w:tc>
          <w:tcPr>
            <w:tcW w:w="2394" w:type="dxa"/>
          </w:tcPr>
          <w:p w:rsidR="00570F6E" w:rsidRDefault="00570F6E" w:rsidP="00AF3694">
            <w:r>
              <w:t>March 2018</w:t>
            </w:r>
          </w:p>
        </w:tc>
        <w:tc>
          <w:tcPr>
            <w:tcW w:w="2394" w:type="dxa"/>
          </w:tcPr>
          <w:p w:rsidR="00570F6E" w:rsidRDefault="00570F6E" w:rsidP="00AF3694">
            <w:r>
              <w:t>% change</w:t>
            </w:r>
          </w:p>
        </w:tc>
      </w:tr>
      <w:tr w:rsidR="00570F6E" w:rsidTr="00570F6E">
        <w:tc>
          <w:tcPr>
            <w:tcW w:w="2394" w:type="dxa"/>
          </w:tcPr>
          <w:p w:rsidR="00570F6E" w:rsidRDefault="00570F6E" w:rsidP="00AF3694">
            <w:r>
              <w:t>Bank of America</w:t>
            </w:r>
            <w:r w:rsidR="00F21D35">
              <w:t>*</w:t>
            </w:r>
          </w:p>
          <w:p w:rsidR="00570F6E" w:rsidRDefault="00570F6E" w:rsidP="00AF3694">
            <w:r>
              <w:t xml:space="preserve">        Restricted Fund</w:t>
            </w:r>
          </w:p>
          <w:p w:rsidR="00570F6E" w:rsidRDefault="00570F6E" w:rsidP="00AF3694"/>
          <w:p w:rsidR="006C0917" w:rsidRDefault="006C0917" w:rsidP="00AF3694">
            <w:r>
              <w:t>TOTAL</w:t>
            </w:r>
          </w:p>
        </w:tc>
        <w:tc>
          <w:tcPr>
            <w:tcW w:w="2394" w:type="dxa"/>
          </w:tcPr>
          <w:p w:rsidR="00570F6E" w:rsidRDefault="00570F6E" w:rsidP="00AF3694">
            <w:r>
              <w:t>$3,804,373</w:t>
            </w:r>
          </w:p>
          <w:p w:rsidR="00C80632" w:rsidRDefault="00C80632" w:rsidP="00AF3694">
            <w:r>
              <w:t xml:space="preserve">        81,742</w:t>
            </w:r>
          </w:p>
          <w:p w:rsidR="00C80632" w:rsidRDefault="00C80632" w:rsidP="00AF3694">
            <w:r>
              <w:t xml:space="preserve"> ----------------</w:t>
            </w:r>
          </w:p>
          <w:p w:rsidR="00C80632" w:rsidRDefault="00C80632" w:rsidP="00AF3694">
            <w:r>
              <w:t xml:space="preserve"> 3,886,115</w:t>
            </w:r>
          </w:p>
        </w:tc>
        <w:tc>
          <w:tcPr>
            <w:tcW w:w="2394" w:type="dxa"/>
          </w:tcPr>
          <w:p w:rsidR="00C80632" w:rsidRDefault="00C80632" w:rsidP="00C80632">
            <w:r>
              <w:t>$3,791,028</w:t>
            </w:r>
          </w:p>
          <w:p w:rsidR="00C80632" w:rsidRDefault="00C80632" w:rsidP="00C80632">
            <w:r>
              <w:t xml:space="preserve">        79,985</w:t>
            </w:r>
          </w:p>
          <w:p w:rsidR="00C80632" w:rsidRDefault="00F21D35" w:rsidP="00AF3694">
            <w:r>
              <w:t>---------------</w:t>
            </w:r>
          </w:p>
          <w:p w:rsidR="00C80632" w:rsidRDefault="00C80632" w:rsidP="00AF3694">
            <w:r>
              <w:t>$3,871,013</w:t>
            </w:r>
          </w:p>
        </w:tc>
        <w:tc>
          <w:tcPr>
            <w:tcW w:w="2394" w:type="dxa"/>
          </w:tcPr>
          <w:p w:rsidR="00570F6E" w:rsidRDefault="00570F6E" w:rsidP="00AF3694"/>
          <w:p w:rsidR="006C0917" w:rsidRDefault="006C0917" w:rsidP="00AF3694"/>
          <w:p w:rsidR="006C0917" w:rsidRDefault="006C0917" w:rsidP="00AF3694"/>
          <w:p w:rsidR="006C0917" w:rsidRDefault="006C0917" w:rsidP="00AF3694">
            <w:r>
              <w:t>0.4%</w:t>
            </w:r>
          </w:p>
        </w:tc>
      </w:tr>
      <w:tr w:rsidR="00570F6E" w:rsidTr="00570F6E">
        <w:tc>
          <w:tcPr>
            <w:tcW w:w="2394" w:type="dxa"/>
          </w:tcPr>
          <w:p w:rsidR="00570F6E" w:rsidRDefault="006C0917" w:rsidP="00AF3694">
            <w:r>
              <w:t>TD Bank</w:t>
            </w:r>
            <w:r w:rsidR="00F21D35">
              <w:t>**</w:t>
            </w:r>
          </w:p>
          <w:p w:rsidR="006C0917" w:rsidRDefault="006C0917" w:rsidP="00AF3694">
            <w:r>
              <w:t xml:space="preserve">       Balcom Trust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$  254,637</w:t>
            </w:r>
          </w:p>
        </w:tc>
        <w:tc>
          <w:tcPr>
            <w:tcW w:w="2394" w:type="dxa"/>
          </w:tcPr>
          <w:p w:rsidR="00570F6E" w:rsidRDefault="00570F6E" w:rsidP="00AF3694"/>
          <w:p w:rsidR="006C0917" w:rsidRDefault="006C0917" w:rsidP="00AF3694">
            <w:r>
              <w:t>$   262,462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(3%)</w:t>
            </w:r>
          </w:p>
        </w:tc>
      </w:tr>
      <w:tr w:rsidR="00570F6E" w:rsidTr="00570F6E">
        <w:tc>
          <w:tcPr>
            <w:tcW w:w="2394" w:type="dxa"/>
          </w:tcPr>
          <w:p w:rsidR="00570F6E" w:rsidRDefault="006C0917" w:rsidP="00AF3694">
            <w:r>
              <w:t xml:space="preserve">UUA </w:t>
            </w:r>
            <w:r w:rsidR="00F21D35">
              <w:t>**</w:t>
            </w:r>
          </w:p>
          <w:p w:rsidR="006C0917" w:rsidRDefault="006C0917" w:rsidP="00AF3694">
            <w:r>
              <w:t xml:space="preserve">       Boutwell Funds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$    31,179</w:t>
            </w:r>
          </w:p>
        </w:tc>
        <w:tc>
          <w:tcPr>
            <w:tcW w:w="2394" w:type="dxa"/>
          </w:tcPr>
          <w:p w:rsidR="00570F6E" w:rsidRDefault="00570F6E" w:rsidP="00AF3694"/>
          <w:p w:rsidR="006C0917" w:rsidRDefault="006C0917" w:rsidP="00AF3694">
            <w:r>
              <w:t>$    31,502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(1%)</w:t>
            </w:r>
          </w:p>
        </w:tc>
      </w:tr>
      <w:tr w:rsidR="00570F6E" w:rsidTr="00570F6E">
        <w:tc>
          <w:tcPr>
            <w:tcW w:w="2394" w:type="dxa"/>
          </w:tcPr>
          <w:p w:rsidR="00570F6E" w:rsidRDefault="00570F6E" w:rsidP="00AF3694"/>
          <w:p w:rsidR="006C0917" w:rsidRDefault="006C0917" w:rsidP="00AF3694">
            <w:r>
              <w:t>TOTAL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$4,171,931</w:t>
            </w:r>
          </w:p>
        </w:tc>
        <w:tc>
          <w:tcPr>
            <w:tcW w:w="2394" w:type="dxa"/>
          </w:tcPr>
          <w:p w:rsidR="00570F6E" w:rsidRDefault="00570F6E" w:rsidP="00AF3694"/>
          <w:p w:rsidR="006C0917" w:rsidRDefault="006C0917" w:rsidP="00AF3694">
            <w:r>
              <w:t>$4,164,977</w:t>
            </w:r>
          </w:p>
        </w:tc>
        <w:tc>
          <w:tcPr>
            <w:tcW w:w="2394" w:type="dxa"/>
          </w:tcPr>
          <w:p w:rsidR="00570F6E" w:rsidRDefault="00570F6E" w:rsidP="00AF3694"/>
          <w:p w:rsidR="00AA2C10" w:rsidRDefault="00AA2C10" w:rsidP="00AF3694">
            <w:r>
              <w:t>0.16%</w:t>
            </w:r>
          </w:p>
        </w:tc>
      </w:tr>
    </w:tbl>
    <w:p w:rsidR="00570F6E" w:rsidRDefault="00570F6E" w:rsidP="00AF3694"/>
    <w:p w:rsidR="006C0917" w:rsidRDefault="00F21D35" w:rsidP="00AF3694">
      <w:r>
        <w:t>*</w:t>
      </w:r>
      <w:r w:rsidR="006C0917">
        <w:t>April 2019 results; 10.2% are Nashua Cemetery co-mingled funds</w:t>
      </w:r>
    </w:p>
    <w:p w:rsidR="00AF3694" w:rsidRDefault="00F21D35">
      <w:r>
        <w:t xml:space="preserve">**March </w:t>
      </w:r>
      <w:r w:rsidR="00AA2C10">
        <w:t xml:space="preserve">2019 results. We do not </w:t>
      </w:r>
      <w:r w:rsidR="00981079">
        <w:t>control</w:t>
      </w:r>
      <w:r w:rsidR="00AA2C10">
        <w:t xml:space="preserve"> these funds</w:t>
      </w:r>
    </w:p>
    <w:sectPr w:rsidR="00AF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8"/>
    <w:rsid w:val="00084325"/>
    <w:rsid w:val="000A1B08"/>
    <w:rsid w:val="001A25AF"/>
    <w:rsid w:val="002516EB"/>
    <w:rsid w:val="002C19A4"/>
    <w:rsid w:val="002F4F26"/>
    <w:rsid w:val="003A138B"/>
    <w:rsid w:val="003A6163"/>
    <w:rsid w:val="003E285D"/>
    <w:rsid w:val="003F69C4"/>
    <w:rsid w:val="00421927"/>
    <w:rsid w:val="005050B3"/>
    <w:rsid w:val="00570F6E"/>
    <w:rsid w:val="005E3C30"/>
    <w:rsid w:val="006C0917"/>
    <w:rsid w:val="006D17E8"/>
    <w:rsid w:val="00711F32"/>
    <w:rsid w:val="00776C6A"/>
    <w:rsid w:val="007D3812"/>
    <w:rsid w:val="008D6B21"/>
    <w:rsid w:val="008F54B7"/>
    <w:rsid w:val="00941502"/>
    <w:rsid w:val="00981079"/>
    <w:rsid w:val="00A42D99"/>
    <w:rsid w:val="00AA2C10"/>
    <w:rsid w:val="00AF3694"/>
    <w:rsid w:val="00BB10D8"/>
    <w:rsid w:val="00C80632"/>
    <w:rsid w:val="00CF5570"/>
    <w:rsid w:val="00CF71B7"/>
    <w:rsid w:val="00E07C9A"/>
    <w:rsid w:val="00F21D35"/>
    <w:rsid w:val="00F35AF6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7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9</cp:revision>
  <dcterms:created xsi:type="dcterms:W3CDTF">2019-05-15T22:39:00Z</dcterms:created>
  <dcterms:modified xsi:type="dcterms:W3CDTF">2019-05-22T02:18:00Z</dcterms:modified>
</cp:coreProperties>
</file>